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1285E">
      <w:pPr>
        <w:ind w:left="567" w:firstLine="567"/>
        <w:jc w:val="center"/>
        <w:outlineLvl w:val="0"/>
        <w:rPr>
          <w:b/>
        </w:rPr>
      </w:pPr>
      <w:r>
        <w:rPr>
          <w:b/>
        </w:rPr>
        <w:t>КОНТРОЛЬНО - СЧЕТНАЯ ПАЛАТА МУНИЦИПАЛЬНОГО ОБРАЗОВАНИЯ «АХТУБИНСКИЙ МУНИЦИПАЛЬНЫЙ РАЙОН АСТРАХАНСКОЙ ОБЛАСТИ»</w:t>
      </w:r>
    </w:p>
    <w:p w14:paraId="53FFD20B">
      <w:pPr>
        <w:jc w:val="center"/>
        <w:outlineLvl w:val="0"/>
      </w:pPr>
    </w:p>
    <w:p w14:paraId="25C73607">
      <w:pPr>
        <w:jc w:val="center"/>
        <w:outlineLvl w:val="0"/>
        <w:rPr>
          <w:sz w:val="18"/>
          <w:szCs w:val="18"/>
        </w:rPr>
      </w:pPr>
      <w:r>
        <w:rPr>
          <w:sz w:val="18"/>
          <w:szCs w:val="18"/>
        </w:rPr>
        <w:t>Волгоградская ул., д.141, г. Ахтубинск, Астраханской обл., 416500, Тел.(8-85141) 4-04-24;</w:t>
      </w:r>
    </w:p>
    <w:p w14:paraId="634AF36E">
      <w:pPr>
        <w:jc w:val="center"/>
        <w:outlineLvl w:val="0"/>
        <w:rPr>
          <w:sz w:val="18"/>
          <w:szCs w:val="18"/>
        </w:rPr>
      </w:pPr>
      <w:r>
        <w:rPr>
          <w:sz w:val="18"/>
          <w:szCs w:val="18"/>
        </w:rPr>
        <w:t xml:space="preserve"> </w:t>
      </w:r>
      <w:r>
        <w:rPr>
          <w:sz w:val="18"/>
          <w:szCs w:val="18"/>
          <w:lang w:val="en-US"/>
        </w:rPr>
        <w:t>e</w:t>
      </w:r>
      <w:r>
        <w:rPr>
          <w:sz w:val="18"/>
          <w:szCs w:val="18"/>
        </w:rPr>
        <w:t>-</w:t>
      </w:r>
      <w:r>
        <w:rPr>
          <w:sz w:val="18"/>
          <w:szCs w:val="18"/>
          <w:lang w:val="en-US"/>
        </w:rPr>
        <w:t>mail</w:t>
      </w:r>
      <w:r>
        <w:rPr>
          <w:sz w:val="18"/>
          <w:szCs w:val="18"/>
        </w:rPr>
        <w:t xml:space="preserve">: </w:t>
      </w:r>
      <w:r>
        <w:rPr>
          <w:sz w:val="18"/>
          <w:szCs w:val="18"/>
          <w:lang w:val="en-US"/>
        </w:rPr>
        <w:t>kspahtubinsk</w:t>
      </w:r>
      <w:r>
        <w:rPr>
          <w:sz w:val="18"/>
          <w:szCs w:val="18"/>
        </w:rPr>
        <w:t>@</w:t>
      </w:r>
      <w:r>
        <w:rPr>
          <w:sz w:val="18"/>
          <w:szCs w:val="18"/>
          <w:lang w:val="en-US"/>
        </w:rPr>
        <w:t>mail</w:t>
      </w:r>
      <w:r>
        <w:rPr>
          <w:sz w:val="18"/>
          <w:szCs w:val="18"/>
        </w:rPr>
        <w:t>.</w:t>
      </w:r>
      <w:r>
        <w:rPr>
          <w:sz w:val="18"/>
          <w:szCs w:val="18"/>
          <w:lang w:val="en-US"/>
        </w:rPr>
        <w:t>ru</w:t>
      </w:r>
      <w:r>
        <w:rPr>
          <w:sz w:val="18"/>
          <w:szCs w:val="18"/>
        </w:rPr>
        <w:t xml:space="preserve"> ОКПО 78317643, ОГРН 1063022000282, ИНН/КПП 3001040259/300101001</w:t>
      </w:r>
    </w:p>
    <w:p w14:paraId="0AEDCD60">
      <w:pPr>
        <w:pBdr>
          <w:top w:val="thinThickSmallGap" w:color="auto" w:sz="24" w:space="1"/>
        </w:pBdr>
        <w:spacing w:line="360" w:lineRule="auto"/>
        <w:jc w:val="center"/>
        <w:rPr>
          <w:sz w:val="22"/>
          <w:szCs w:val="22"/>
        </w:rPr>
      </w:pPr>
    </w:p>
    <w:p w14:paraId="25C369E5">
      <w:pPr>
        <w:jc w:val="center"/>
        <w:rPr>
          <w:b/>
          <w:i/>
        </w:rPr>
      </w:pPr>
      <w:r>
        <w:rPr>
          <w:b/>
          <w:i/>
        </w:rPr>
        <w:t>Аналитическая записка к отчету об исполнении бюджета</w:t>
      </w:r>
    </w:p>
    <w:p w14:paraId="6F9EA520">
      <w:pPr>
        <w:jc w:val="center"/>
        <w:rPr>
          <w:b/>
          <w:i/>
        </w:rPr>
      </w:pPr>
      <w:r>
        <w:rPr>
          <w:b/>
          <w:i/>
        </w:rPr>
        <w:t>муниципального образования «Ахтубинский муниципальный район Астраханской области» за 1 квартал 2025 года.</w:t>
      </w:r>
    </w:p>
    <w:p w14:paraId="3B06A7FF">
      <w:pPr>
        <w:ind w:firstLine="720"/>
        <w:jc w:val="center"/>
      </w:pPr>
    </w:p>
    <w:p w14:paraId="4940A134">
      <w:r>
        <w:t>от 30.04.2025 г.</w:t>
      </w:r>
      <w:r>
        <w:tab/>
      </w:r>
      <w:r>
        <w:tab/>
      </w:r>
      <w:r>
        <w:tab/>
      </w:r>
      <w:r>
        <w:tab/>
      </w:r>
      <w:r>
        <w:tab/>
      </w:r>
      <w:r>
        <w:tab/>
      </w:r>
      <w:r>
        <w:tab/>
      </w:r>
      <w:r>
        <w:tab/>
      </w:r>
      <w:r>
        <w:tab/>
      </w:r>
      <w:r>
        <w:t xml:space="preserve">№ З-23/2025 </w:t>
      </w:r>
    </w:p>
    <w:p w14:paraId="094996C2">
      <w:pPr>
        <w:ind w:firstLine="720"/>
        <w:jc w:val="center"/>
        <w:rPr>
          <w:b/>
        </w:rPr>
      </w:pPr>
    </w:p>
    <w:p w14:paraId="62DA4338">
      <w:pPr>
        <w:ind w:firstLine="567"/>
        <w:jc w:val="both"/>
      </w:pPr>
      <w:r>
        <w:t>Согласно требованиям пункта 5 статьи 264.2 Бюджетного кодекса РФ (далее - БК РФ) отчет об исполнении местного бюджета за 1 квартал, 1 полугодие и 9 месяцев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государственного (муниципального) финансового контроля.</w:t>
      </w:r>
    </w:p>
    <w:p w14:paraId="427D011E">
      <w:pPr>
        <w:ind w:firstLine="567"/>
        <w:jc w:val="both"/>
      </w:pPr>
      <w:r>
        <w:t>Отчет об исполнении бюджета муниципального образования «Ахтубинский муниципальный район Астраханской области» (далее - МО «Ахтубинский район») за 1 квартал 2025 года, утверждённый Постановлением администрации муниципального образования «Ахтубинский муниципальный район Астраханской области» от 29.04.2025 №275 (далее-отчет) поступил в Контрольно-счетную палату муниципального образования «Ахтубинский муниципальный район Астраханской области» (далее-КСП МО «Ахтубинский район») - 29.04.2025 года, своевременно в соответствии с пунктом 19.3 Положения о бюджетном процессе в муниципальном образовании «Ахтубинский район», утверждённое Решением Совета муниципального образования «Ахтубинский муниципальный район Астраханской области» от 24.07.2024 №440, в течение 45 дней после окончания отчетного периода.</w:t>
      </w:r>
    </w:p>
    <w:p w14:paraId="27591E8B">
      <w:pPr>
        <w:ind w:firstLine="567"/>
        <w:jc w:val="both"/>
      </w:pPr>
      <w:r>
        <w:t>Аналитическая записка составлена в рамках исполнения полномочий КСП МО «Ахтубинский район», установленных пунктом 1 части 2 статьи 9 Федерального закона от 07.02.2011 №6-ФЗ (ред. от 08.08.2024г.)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статьёй 8 Положения о Контрольно-счетной палате муниципального образования «Ахтубинский муниципальный район Астраханской области», принятого решением Совета МО «Ахтубинский район» от 25.05.2023 № 343 и пункта 2.3 плана работы Контрольно-счетной палаты на 2025 год.</w:t>
      </w:r>
    </w:p>
    <w:p w14:paraId="7480B55C">
      <w:pPr>
        <w:ind w:firstLine="567"/>
        <w:jc w:val="both"/>
        <w:rPr>
          <w:sz w:val="12"/>
          <w:szCs w:val="12"/>
        </w:rPr>
      </w:pPr>
    </w:p>
    <w:p w14:paraId="7346D0BF">
      <w:pPr>
        <w:pStyle w:val="10"/>
        <w:numPr>
          <w:ilvl w:val="0"/>
          <w:numId w:val="1"/>
        </w:numPr>
        <w:tabs>
          <w:tab w:val="left" w:pos="567"/>
        </w:tabs>
        <w:ind w:left="0" w:firstLine="0"/>
        <w:jc w:val="center"/>
        <w:rPr>
          <w:b/>
        </w:rPr>
      </w:pPr>
      <w:r>
        <w:rPr>
          <w:b/>
        </w:rPr>
        <w:t>Оценка исполнения бюджета, основные характеристики бюджета.</w:t>
      </w:r>
    </w:p>
    <w:p w14:paraId="7CC18EE7">
      <w:pPr>
        <w:pStyle w:val="10"/>
        <w:ind w:left="0" w:firstLine="567"/>
        <w:jc w:val="center"/>
        <w:rPr>
          <w:b/>
          <w:sz w:val="12"/>
          <w:szCs w:val="12"/>
        </w:rPr>
      </w:pPr>
    </w:p>
    <w:p w14:paraId="71B4524D">
      <w:pPr>
        <w:pStyle w:val="10"/>
        <w:ind w:left="0" w:firstLine="567"/>
        <w:jc w:val="both"/>
      </w:pPr>
      <w:r>
        <w:t>Решением Совета муниципального образования «Ахтубинский муниципальный район Астраханской области» от 12.12.2024 № 337 «О бюджете муниципального образования «Ахтубинский муниципальный район Астраханской области» на 2025 год и на плановый период 2026 и 2027 годов» (в ред. от 27.03.2025 № 61), утверждены основные характеристики бюджета МО «Ахтубинский район» на 2025 год:</w:t>
      </w:r>
    </w:p>
    <w:p w14:paraId="5EEFC61D">
      <w:pPr>
        <w:jc w:val="both"/>
      </w:pPr>
      <w:r>
        <w:t>1) общий объем доходов в сумме 1 763 197,892 тыс. руб., в том числе за счёт межбюджетных трансфертов, получаемых из других бюджетов бюджетной системы РФ – 1 123 553,87668 тыс. руб.;</w:t>
      </w:r>
    </w:p>
    <w:p w14:paraId="0FC242AA">
      <w:pPr>
        <w:jc w:val="both"/>
      </w:pPr>
      <w:r>
        <w:t>2) общий объем расходов в сумме 1 770 817,29843 тыс. руб.;</w:t>
      </w:r>
    </w:p>
    <w:p w14:paraId="13EB346B">
      <w:pPr>
        <w:jc w:val="both"/>
      </w:pPr>
      <w:r>
        <w:t>3) дефицит в сумме 7 619,40643 тыс. руб.</w:t>
      </w:r>
    </w:p>
    <w:p w14:paraId="3090ABD5">
      <w:pPr>
        <w:ind w:firstLine="709"/>
        <w:jc w:val="both"/>
      </w:pPr>
      <w:r>
        <w:t>Показатели исполнения бюджета за 1 квартал 2025 года по основным параметрам и динамика исполнения к соответствующему периоду 2024 года, представлены в таблице №1:</w:t>
      </w:r>
    </w:p>
    <w:p w14:paraId="2BA2DEB5">
      <w:pPr>
        <w:pStyle w:val="10"/>
        <w:ind w:left="0" w:firstLine="567"/>
        <w:jc w:val="right"/>
      </w:pPr>
      <w:r>
        <w:t>Таблица № 1 (тыс. руб.)</w:t>
      </w:r>
    </w:p>
    <w:tbl>
      <w:tblPr>
        <w:tblStyle w:val="3"/>
        <w:tblW w:w="937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1404"/>
        <w:gridCol w:w="1456"/>
        <w:gridCol w:w="1390"/>
        <w:gridCol w:w="1123"/>
        <w:gridCol w:w="1276"/>
      </w:tblGrid>
      <w:tr w14:paraId="51D0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722" w:type="dxa"/>
            <w:shd w:val="clear" w:color="auto" w:fill="auto"/>
            <w:vAlign w:val="center"/>
          </w:tcPr>
          <w:p w14:paraId="05A4E7B1">
            <w:pPr>
              <w:jc w:val="center"/>
              <w:rPr>
                <w:color w:val="000000"/>
                <w:sz w:val="20"/>
                <w:szCs w:val="20"/>
              </w:rPr>
            </w:pPr>
            <w:r>
              <w:rPr>
                <w:color w:val="000000"/>
                <w:sz w:val="20"/>
                <w:szCs w:val="20"/>
              </w:rPr>
              <w:t>Наименование показателя</w:t>
            </w:r>
          </w:p>
        </w:tc>
        <w:tc>
          <w:tcPr>
            <w:tcW w:w="1404" w:type="dxa"/>
            <w:shd w:val="clear" w:color="auto" w:fill="auto"/>
            <w:vAlign w:val="center"/>
          </w:tcPr>
          <w:p w14:paraId="6C2FDAEB">
            <w:pPr>
              <w:jc w:val="center"/>
              <w:textAlignment w:val="center"/>
              <w:rPr>
                <w:color w:val="000000"/>
                <w:sz w:val="22"/>
                <w:szCs w:val="22"/>
              </w:rPr>
            </w:pPr>
            <w:r>
              <w:rPr>
                <w:rFonts w:eastAsia="SimSun"/>
                <w:color w:val="000000"/>
                <w:sz w:val="22"/>
                <w:szCs w:val="22"/>
                <w:lang w:eastAsia="zh-CN" w:bidi="ar"/>
              </w:rPr>
              <w:t>Исполнение за 3 мес. 2024 года, тыс. руб.</w:t>
            </w:r>
          </w:p>
        </w:tc>
        <w:tc>
          <w:tcPr>
            <w:tcW w:w="1456" w:type="dxa"/>
            <w:shd w:val="clear" w:color="auto" w:fill="auto"/>
            <w:vAlign w:val="center"/>
          </w:tcPr>
          <w:p w14:paraId="5028D40E">
            <w:pPr>
              <w:jc w:val="center"/>
              <w:textAlignment w:val="center"/>
              <w:rPr>
                <w:color w:val="000000"/>
                <w:sz w:val="22"/>
                <w:szCs w:val="22"/>
              </w:rPr>
            </w:pPr>
            <w:r>
              <w:rPr>
                <w:rFonts w:eastAsia="SimSun"/>
                <w:color w:val="000000"/>
                <w:sz w:val="22"/>
                <w:szCs w:val="22"/>
                <w:lang w:val="en-US" w:eastAsia="zh-CN" w:bidi="ar"/>
              </w:rPr>
              <w:t xml:space="preserve">Утверждено </w:t>
            </w:r>
            <w:r>
              <w:rPr>
                <w:rFonts w:eastAsia="SimSun"/>
                <w:color w:val="000000"/>
                <w:sz w:val="22"/>
                <w:szCs w:val="22"/>
                <w:lang w:eastAsia="zh-CN" w:bidi="ar"/>
              </w:rPr>
              <w:t>Решение (от 27.03.2025 г. №61</w:t>
            </w:r>
          </w:p>
        </w:tc>
        <w:tc>
          <w:tcPr>
            <w:tcW w:w="1390" w:type="dxa"/>
            <w:shd w:val="clear" w:color="auto" w:fill="auto"/>
            <w:vAlign w:val="center"/>
          </w:tcPr>
          <w:p w14:paraId="081E8192">
            <w:pPr>
              <w:jc w:val="center"/>
              <w:textAlignment w:val="center"/>
              <w:rPr>
                <w:color w:val="000000"/>
                <w:sz w:val="22"/>
                <w:szCs w:val="22"/>
              </w:rPr>
            </w:pPr>
            <w:r>
              <w:rPr>
                <w:rFonts w:eastAsia="SimSun"/>
                <w:color w:val="000000"/>
                <w:sz w:val="22"/>
                <w:szCs w:val="22"/>
                <w:lang w:eastAsia="zh-CN" w:bidi="ar"/>
              </w:rPr>
              <w:t>Исполнение за 3 мес. 2025 года, тыс. руб.</w:t>
            </w:r>
          </w:p>
        </w:tc>
        <w:tc>
          <w:tcPr>
            <w:tcW w:w="1123" w:type="dxa"/>
            <w:shd w:val="clear" w:color="auto" w:fill="auto"/>
            <w:vAlign w:val="center"/>
          </w:tcPr>
          <w:p w14:paraId="7ACF3EB4">
            <w:pPr>
              <w:jc w:val="center"/>
              <w:textAlignment w:val="center"/>
              <w:rPr>
                <w:color w:val="000000"/>
                <w:sz w:val="22"/>
                <w:szCs w:val="22"/>
              </w:rPr>
            </w:pPr>
            <w:r>
              <w:rPr>
                <w:rFonts w:eastAsia="SimSun"/>
                <w:color w:val="000000"/>
                <w:sz w:val="22"/>
                <w:szCs w:val="22"/>
                <w:lang w:eastAsia="zh-CN" w:bidi="ar"/>
              </w:rPr>
              <w:t xml:space="preserve">% исполнения к утвержденному плану на 2025 год </w:t>
            </w:r>
          </w:p>
        </w:tc>
        <w:tc>
          <w:tcPr>
            <w:tcW w:w="1276" w:type="dxa"/>
            <w:shd w:val="clear" w:color="auto" w:fill="auto"/>
            <w:vAlign w:val="center"/>
          </w:tcPr>
          <w:p w14:paraId="03B1A9B5">
            <w:pPr>
              <w:jc w:val="center"/>
              <w:textAlignment w:val="center"/>
              <w:rPr>
                <w:color w:val="000000"/>
                <w:sz w:val="22"/>
                <w:szCs w:val="22"/>
              </w:rPr>
            </w:pPr>
            <w:r>
              <w:rPr>
                <w:rFonts w:eastAsia="SimSun"/>
                <w:color w:val="000000"/>
                <w:sz w:val="22"/>
                <w:szCs w:val="22"/>
                <w:lang w:eastAsia="zh-CN" w:bidi="ar"/>
              </w:rPr>
              <w:t>Темпы роста к соответствующему периоду 2024 года, %</w:t>
            </w:r>
          </w:p>
        </w:tc>
      </w:tr>
      <w:tr w14:paraId="2513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2" w:type="dxa"/>
            <w:shd w:val="clear" w:color="auto" w:fill="auto"/>
            <w:vAlign w:val="center"/>
          </w:tcPr>
          <w:p w14:paraId="78F56146">
            <w:pPr>
              <w:rPr>
                <w:b/>
                <w:color w:val="000000"/>
                <w:sz w:val="20"/>
                <w:szCs w:val="20"/>
              </w:rPr>
            </w:pPr>
            <w:r>
              <w:rPr>
                <w:b/>
                <w:color w:val="000000"/>
                <w:sz w:val="20"/>
                <w:szCs w:val="20"/>
              </w:rPr>
              <w:t>Доходы бюджета всего, в том числе:</w:t>
            </w:r>
          </w:p>
        </w:tc>
        <w:tc>
          <w:tcPr>
            <w:tcW w:w="1404" w:type="dxa"/>
            <w:shd w:val="clear" w:color="auto" w:fill="auto"/>
            <w:vAlign w:val="center"/>
          </w:tcPr>
          <w:p w14:paraId="76168B34">
            <w:pPr>
              <w:jc w:val="center"/>
              <w:textAlignment w:val="center"/>
              <w:rPr>
                <w:color w:val="000000"/>
                <w:sz w:val="22"/>
                <w:szCs w:val="22"/>
              </w:rPr>
            </w:pPr>
            <w:r>
              <w:rPr>
                <w:rFonts w:eastAsia="SimSun"/>
                <w:color w:val="000000"/>
                <w:sz w:val="22"/>
                <w:szCs w:val="22"/>
                <w:lang w:val="en-US" w:eastAsia="zh-CN" w:bidi="ar"/>
              </w:rPr>
              <w:t>415 146,75</w:t>
            </w:r>
          </w:p>
        </w:tc>
        <w:tc>
          <w:tcPr>
            <w:tcW w:w="1456" w:type="dxa"/>
            <w:shd w:val="clear" w:color="auto" w:fill="auto"/>
            <w:vAlign w:val="center"/>
          </w:tcPr>
          <w:p w14:paraId="00C5AAB1">
            <w:pPr>
              <w:jc w:val="center"/>
              <w:textAlignment w:val="center"/>
              <w:rPr>
                <w:color w:val="000000"/>
                <w:sz w:val="22"/>
                <w:szCs w:val="22"/>
              </w:rPr>
            </w:pPr>
            <w:r>
              <w:rPr>
                <w:rFonts w:eastAsia="SimSun"/>
                <w:color w:val="000000"/>
                <w:sz w:val="22"/>
                <w:szCs w:val="22"/>
                <w:lang w:val="en-US" w:eastAsia="zh-CN" w:bidi="ar"/>
              </w:rPr>
              <w:t>1763 197,89</w:t>
            </w:r>
          </w:p>
        </w:tc>
        <w:tc>
          <w:tcPr>
            <w:tcW w:w="1390" w:type="dxa"/>
            <w:shd w:val="clear" w:color="auto" w:fill="auto"/>
            <w:vAlign w:val="center"/>
          </w:tcPr>
          <w:p w14:paraId="24BC037B">
            <w:pPr>
              <w:jc w:val="center"/>
              <w:textAlignment w:val="center"/>
              <w:rPr>
                <w:color w:val="000000"/>
                <w:sz w:val="22"/>
                <w:szCs w:val="22"/>
              </w:rPr>
            </w:pPr>
            <w:r>
              <w:rPr>
                <w:rFonts w:eastAsia="SimSun"/>
                <w:color w:val="000000"/>
                <w:sz w:val="22"/>
                <w:szCs w:val="22"/>
                <w:lang w:val="en-US" w:eastAsia="zh-CN" w:bidi="ar"/>
              </w:rPr>
              <w:t>459 148,02</w:t>
            </w:r>
          </w:p>
        </w:tc>
        <w:tc>
          <w:tcPr>
            <w:tcW w:w="1123" w:type="dxa"/>
            <w:shd w:val="clear" w:color="auto" w:fill="auto"/>
            <w:vAlign w:val="center"/>
          </w:tcPr>
          <w:p w14:paraId="365D4EDF">
            <w:pPr>
              <w:jc w:val="center"/>
              <w:textAlignment w:val="center"/>
              <w:rPr>
                <w:color w:val="000000"/>
                <w:sz w:val="22"/>
                <w:szCs w:val="22"/>
              </w:rPr>
            </w:pPr>
            <w:r>
              <w:rPr>
                <w:rFonts w:eastAsia="SimSun"/>
                <w:color w:val="000000"/>
                <w:sz w:val="22"/>
                <w:szCs w:val="22"/>
                <w:lang w:val="en-US" w:eastAsia="zh-CN" w:bidi="ar"/>
              </w:rPr>
              <w:t>26,04</w:t>
            </w:r>
          </w:p>
        </w:tc>
        <w:tc>
          <w:tcPr>
            <w:tcW w:w="1276" w:type="dxa"/>
            <w:shd w:val="clear" w:color="auto" w:fill="auto"/>
            <w:vAlign w:val="center"/>
          </w:tcPr>
          <w:p w14:paraId="1101BFC0">
            <w:pPr>
              <w:jc w:val="center"/>
              <w:textAlignment w:val="center"/>
              <w:rPr>
                <w:color w:val="000000"/>
                <w:sz w:val="22"/>
                <w:szCs w:val="22"/>
              </w:rPr>
            </w:pPr>
            <w:r>
              <w:rPr>
                <w:rFonts w:eastAsia="SimSun"/>
                <w:color w:val="000000"/>
                <w:sz w:val="22"/>
                <w:szCs w:val="22"/>
                <w:lang w:val="en-US" w:eastAsia="zh-CN" w:bidi="ar"/>
              </w:rPr>
              <w:t>110,60</w:t>
            </w:r>
          </w:p>
        </w:tc>
      </w:tr>
      <w:tr w14:paraId="19D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2" w:type="dxa"/>
            <w:shd w:val="clear" w:color="auto" w:fill="auto"/>
            <w:vAlign w:val="center"/>
          </w:tcPr>
          <w:p w14:paraId="40C61D78">
            <w:pPr>
              <w:jc w:val="both"/>
              <w:rPr>
                <w:color w:val="000000"/>
                <w:sz w:val="20"/>
                <w:szCs w:val="20"/>
              </w:rPr>
            </w:pPr>
            <w:r>
              <w:rPr>
                <w:color w:val="000000"/>
                <w:sz w:val="20"/>
                <w:szCs w:val="20"/>
              </w:rPr>
              <w:t>налоговые и неналоговые доходы</w:t>
            </w:r>
          </w:p>
        </w:tc>
        <w:tc>
          <w:tcPr>
            <w:tcW w:w="1404" w:type="dxa"/>
            <w:shd w:val="clear" w:color="auto" w:fill="auto"/>
            <w:vAlign w:val="center"/>
          </w:tcPr>
          <w:p w14:paraId="703FC949">
            <w:pPr>
              <w:jc w:val="center"/>
              <w:textAlignment w:val="center"/>
              <w:rPr>
                <w:color w:val="000000"/>
                <w:sz w:val="22"/>
                <w:szCs w:val="22"/>
              </w:rPr>
            </w:pPr>
            <w:r>
              <w:rPr>
                <w:rFonts w:eastAsia="SimSun"/>
                <w:color w:val="000000"/>
                <w:sz w:val="22"/>
                <w:szCs w:val="22"/>
                <w:lang w:val="en-US" w:eastAsia="zh-CN" w:bidi="ar"/>
              </w:rPr>
              <w:t>110 943,25</w:t>
            </w:r>
          </w:p>
        </w:tc>
        <w:tc>
          <w:tcPr>
            <w:tcW w:w="1456" w:type="dxa"/>
            <w:shd w:val="clear" w:color="auto" w:fill="auto"/>
            <w:vAlign w:val="center"/>
          </w:tcPr>
          <w:p w14:paraId="0A05D6F7">
            <w:pPr>
              <w:jc w:val="center"/>
              <w:textAlignment w:val="center"/>
              <w:rPr>
                <w:color w:val="000000"/>
                <w:sz w:val="22"/>
                <w:szCs w:val="22"/>
              </w:rPr>
            </w:pPr>
            <w:r>
              <w:rPr>
                <w:rFonts w:eastAsia="SimSun"/>
                <w:color w:val="000000"/>
                <w:sz w:val="22"/>
                <w:szCs w:val="22"/>
                <w:lang w:val="en-US" w:eastAsia="zh-CN" w:bidi="ar"/>
              </w:rPr>
              <w:t>637 134,65</w:t>
            </w:r>
          </w:p>
        </w:tc>
        <w:tc>
          <w:tcPr>
            <w:tcW w:w="1390" w:type="dxa"/>
            <w:shd w:val="clear" w:color="auto" w:fill="auto"/>
            <w:vAlign w:val="center"/>
          </w:tcPr>
          <w:p w14:paraId="5D7F4C18">
            <w:pPr>
              <w:jc w:val="center"/>
              <w:textAlignment w:val="center"/>
              <w:rPr>
                <w:color w:val="000000"/>
                <w:sz w:val="22"/>
                <w:szCs w:val="22"/>
              </w:rPr>
            </w:pPr>
            <w:r>
              <w:rPr>
                <w:rFonts w:eastAsia="SimSun"/>
                <w:color w:val="000000"/>
                <w:sz w:val="22"/>
                <w:szCs w:val="22"/>
                <w:lang w:val="en-US" w:eastAsia="zh-CN" w:bidi="ar"/>
              </w:rPr>
              <w:t>129 131,83</w:t>
            </w:r>
          </w:p>
        </w:tc>
        <w:tc>
          <w:tcPr>
            <w:tcW w:w="1123" w:type="dxa"/>
            <w:shd w:val="clear" w:color="auto" w:fill="auto"/>
            <w:vAlign w:val="center"/>
          </w:tcPr>
          <w:p w14:paraId="4A82CE63">
            <w:pPr>
              <w:jc w:val="center"/>
              <w:textAlignment w:val="center"/>
              <w:rPr>
                <w:color w:val="000000"/>
                <w:sz w:val="22"/>
                <w:szCs w:val="22"/>
              </w:rPr>
            </w:pPr>
            <w:r>
              <w:rPr>
                <w:rFonts w:eastAsia="SimSun"/>
                <w:color w:val="000000"/>
                <w:sz w:val="22"/>
                <w:szCs w:val="22"/>
                <w:lang w:val="en-US" w:eastAsia="zh-CN" w:bidi="ar"/>
              </w:rPr>
              <w:t>20,27</w:t>
            </w:r>
          </w:p>
        </w:tc>
        <w:tc>
          <w:tcPr>
            <w:tcW w:w="1276" w:type="dxa"/>
            <w:shd w:val="clear" w:color="auto" w:fill="auto"/>
            <w:vAlign w:val="center"/>
          </w:tcPr>
          <w:p w14:paraId="6012A60F">
            <w:pPr>
              <w:jc w:val="center"/>
              <w:textAlignment w:val="center"/>
              <w:rPr>
                <w:color w:val="000000"/>
                <w:sz w:val="22"/>
                <w:szCs w:val="22"/>
              </w:rPr>
            </w:pPr>
            <w:r>
              <w:rPr>
                <w:rFonts w:eastAsia="SimSun"/>
                <w:color w:val="000000"/>
                <w:sz w:val="22"/>
                <w:szCs w:val="22"/>
                <w:lang w:val="en-US" w:eastAsia="zh-CN" w:bidi="ar"/>
              </w:rPr>
              <w:t>116,39</w:t>
            </w:r>
          </w:p>
        </w:tc>
      </w:tr>
      <w:tr w14:paraId="194A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14:paraId="6513BCE0">
            <w:pPr>
              <w:rPr>
                <w:color w:val="000000"/>
                <w:sz w:val="20"/>
                <w:szCs w:val="20"/>
              </w:rPr>
            </w:pPr>
            <w:r>
              <w:rPr>
                <w:color w:val="000000"/>
                <w:sz w:val="20"/>
                <w:szCs w:val="20"/>
              </w:rPr>
              <w:t xml:space="preserve">безвозмездные поступления </w:t>
            </w:r>
          </w:p>
        </w:tc>
        <w:tc>
          <w:tcPr>
            <w:tcW w:w="1404" w:type="dxa"/>
            <w:shd w:val="clear" w:color="auto" w:fill="auto"/>
            <w:vAlign w:val="center"/>
          </w:tcPr>
          <w:p w14:paraId="289DDC42">
            <w:pPr>
              <w:jc w:val="center"/>
              <w:textAlignment w:val="center"/>
              <w:rPr>
                <w:color w:val="000000"/>
                <w:sz w:val="22"/>
                <w:szCs w:val="22"/>
              </w:rPr>
            </w:pPr>
            <w:r>
              <w:rPr>
                <w:rFonts w:eastAsia="SimSun"/>
                <w:color w:val="000000"/>
                <w:sz w:val="22"/>
                <w:szCs w:val="22"/>
                <w:lang w:val="en-US" w:eastAsia="zh-CN" w:bidi="ar"/>
              </w:rPr>
              <w:t>304 203,50</w:t>
            </w:r>
          </w:p>
        </w:tc>
        <w:tc>
          <w:tcPr>
            <w:tcW w:w="1456" w:type="dxa"/>
            <w:shd w:val="clear" w:color="auto" w:fill="auto"/>
            <w:vAlign w:val="center"/>
          </w:tcPr>
          <w:p w14:paraId="4E56F534">
            <w:pPr>
              <w:jc w:val="center"/>
              <w:textAlignment w:val="center"/>
              <w:rPr>
                <w:color w:val="000000"/>
                <w:sz w:val="22"/>
                <w:szCs w:val="22"/>
              </w:rPr>
            </w:pPr>
            <w:r>
              <w:rPr>
                <w:rFonts w:eastAsia="SimSun"/>
                <w:color w:val="000000"/>
                <w:sz w:val="22"/>
                <w:szCs w:val="22"/>
                <w:lang w:val="en-US" w:eastAsia="zh-CN" w:bidi="ar"/>
              </w:rPr>
              <w:t>1126 063,24</w:t>
            </w:r>
          </w:p>
        </w:tc>
        <w:tc>
          <w:tcPr>
            <w:tcW w:w="1390" w:type="dxa"/>
            <w:shd w:val="clear" w:color="auto" w:fill="auto"/>
            <w:vAlign w:val="center"/>
          </w:tcPr>
          <w:p w14:paraId="45C51184">
            <w:pPr>
              <w:jc w:val="center"/>
              <w:textAlignment w:val="center"/>
              <w:rPr>
                <w:color w:val="000000"/>
                <w:sz w:val="22"/>
                <w:szCs w:val="22"/>
              </w:rPr>
            </w:pPr>
            <w:r>
              <w:rPr>
                <w:rFonts w:eastAsia="SimSun"/>
                <w:color w:val="000000"/>
                <w:sz w:val="22"/>
                <w:szCs w:val="22"/>
                <w:lang w:val="en-US" w:eastAsia="zh-CN" w:bidi="ar"/>
              </w:rPr>
              <w:t>330 016,19</w:t>
            </w:r>
          </w:p>
        </w:tc>
        <w:tc>
          <w:tcPr>
            <w:tcW w:w="1123" w:type="dxa"/>
            <w:shd w:val="clear" w:color="auto" w:fill="auto"/>
            <w:vAlign w:val="center"/>
          </w:tcPr>
          <w:p w14:paraId="7C71635D">
            <w:pPr>
              <w:jc w:val="center"/>
              <w:textAlignment w:val="center"/>
              <w:rPr>
                <w:color w:val="000000"/>
                <w:sz w:val="22"/>
                <w:szCs w:val="22"/>
              </w:rPr>
            </w:pPr>
            <w:r>
              <w:rPr>
                <w:rFonts w:eastAsia="SimSun"/>
                <w:color w:val="000000"/>
                <w:sz w:val="22"/>
                <w:szCs w:val="22"/>
                <w:lang w:val="en-US" w:eastAsia="zh-CN" w:bidi="ar"/>
              </w:rPr>
              <w:t>29,31</w:t>
            </w:r>
          </w:p>
        </w:tc>
        <w:tc>
          <w:tcPr>
            <w:tcW w:w="1276" w:type="dxa"/>
            <w:shd w:val="clear" w:color="auto" w:fill="auto"/>
            <w:vAlign w:val="center"/>
          </w:tcPr>
          <w:p w14:paraId="51ABD771">
            <w:pPr>
              <w:jc w:val="center"/>
              <w:textAlignment w:val="center"/>
              <w:rPr>
                <w:color w:val="000000"/>
                <w:sz w:val="22"/>
                <w:szCs w:val="22"/>
              </w:rPr>
            </w:pPr>
            <w:r>
              <w:rPr>
                <w:rFonts w:eastAsia="SimSun"/>
                <w:color w:val="000000"/>
                <w:sz w:val="22"/>
                <w:szCs w:val="22"/>
                <w:lang w:val="en-US" w:eastAsia="zh-CN" w:bidi="ar"/>
              </w:rPr>
              <w:t>108,49</w:t>
            </w:r>
          </w:p>
        </w:tc>
      </w:tr>
      <w:tr w14:paraId="09FE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14:paraId="72F152B2">
            <w:pPr>
              <w:rPr>
                <w:b/>
                <w:color w:val="000000"/>
                <w:sz w:val="20"/>
                <w:szCs w:val="20"/>
              </w:rPr>
            </w:pPr>
            <w:r>
              <w:rPr>
                <w:b/>
                <w:color w:val="000000"/>
                <w:sz w:val="20"/>
                <w:szCs w:val="20"/>
              </w:rPr>
              <w:t>Расходы бюджета</w:t>
            </w:r>
          </w:p>
        </w:tc>
        <w:tc>
          <w:tcPr>
            <w:tcW w:w="1404" w:type="dxa"/>
            <w:shd w:val="clear" w:color="auto" w:fill="auto"/>
            <w:vAlign w:val="bottom"/>
          </w:tcPr>
          <w:p w14:paraId="5575BB51">
            <w:pPr>
              <w:jc w:val="center"/>
              <w:textAlignment w:val="bottom"/>
              <w:rPr>
                <w:color w:val="000000"/>
                <w:sz w:val="22"/>
                <w:szCs w:val="22"/>
              </w:rPr>
            </w:pPr>
            <w:r>
              <w:rPr>
                <w:rFonts w:eastAsia="SimSun"/>
                <w:color w:val="000000"/>
                <w:sz w:val="22"/>
                <w:szCs w:val="22"/>
                <w:lang w:val="en-US" w:eastAsia="zh-CN" w:bidi="ar"/>
              </w:rPr>
              <w:t>408 789,85</w:t>
            </w:r>
          </w:p>
        </w:tc>
        <w:tc>
          <w:tcPr>
            <w:tcW w:w="1456" w:type="dxa"/>
            <w:shd w:val="clear" w:color="auto" w:fill="auto"/>
            <w:vAlign w:val="bottom"/>
          </w:tcPr>
          <w:p w14:paraId="212B24E5">
            <w:pPr>
              <w:jc w:val="center"/>
              <w:textAlignment w:val="bottom"/>
              <w:rPr>
                <w:color w:val="000000"/>
                <w:sz w:val="22"/>
                <w:szCs w:val="22"/>
              </w:rPr>
            </w:pPr>
            <w:r>
              <w:rPr>
                <w:rFonts w:eastAsia="SimSun"/>
                <w:color w:val="000000"/>
                <w:sz w:val="22"/>
                <w:szCs w:val="22"/>
                <w:lang w:val="en-US" w:eastAsia="zh-CN" w:bidi="ar"/>
              </w:rPr>
              <w:t>1770 817,30</w:t>
            </w:r>
          </w:p>
        </w:tc>
        <w:tc>
          <w:tcPr>
            <w:tcW w:w="1390" w:type="dxa"/>
            <w:shd w:val="clear" w:color="auto" w:fill="auto"/>
            <w:vAlign w:val="bottom"/>
          </w:tcPr>
          <w:p w14:paraId="313C9E11">
            <w:pPr>
              <w:jc w:val="center"/>
              <w:textAlignment w:val="bottom"/>
              <w:rPr>
                <w:color w:val="000000"/>
                <w:sz w:val="22"/>
                <w:szCs w:val="22"/>
              </w:rPr>
            </w:pPr>
            <w:r>
              <w:rPr>
                <w:rFonts w:eastAsia="SimSun"/>
                <w:color w:val="000000"/>
                <w:sz w:val="22"/>
                <w:szCs w:val="22"/>
                <w:lang w:val="en-US" w:eastAsia="zh-CN" w:bidi="ar"/>
              </w:rPr>
              <w:t>441 774,56</w:t>
            </w:r>
          </w:p>
        </w:tc>
        <w:tc>
          <w:tcPr>
            <w:tcW w:w="1123" w:type="dxa"/>
            <w:shd w:val="clear" w:color="auto" w:fill="auto"/>
            <w:vAlign w:val="center"/>
          </w:tcPr>
          <w:p w14:paraId="44EB7023">
            <w:pPr>
              <w:jc w:val="center"/>
              <w:textAlignment w:val="center"/>
              <w:rPr>
                <w:color w:val="000000"/>
                <w:sz w:val="22"/>
                <w:szCs w:val="22"/>
              </w:rPr>
            </w:pPr>
            <w:r>
              <w:rPr>
                <w:rFonts w:eastAsia="SimSun"/>
                <w:color w:val="000000"/>
                <w:sz w:val="22"/>
                <w:szCs w:val="22"/>
                <w:lang w:val="en-US" w:eastAsia="zh-CN" w:bidi="ar"/>
              </w:rPr>
              <w:t>24,95</w:t>
            </w:r>
          </w:p>
        </w:tc>
        <w:tc>
          <w:tcPr>
            <w:tcW w:w="1276" w:type="dxa"/>
            <w:shd w:val="clear" w:color="auto" w:fill="auto"/>
            <w:vAlign w:val="center"/>
          </w:tcPr>
          <w:p w14:paraId="52137077">
            <w:pPr>
              <w:jc w:val="center"/>
              <w:textAlignment w:val="center"/>
              <w:rPr>
                <w:color w:val="000000"/>
                <w:sz w:val="22"/>
                <w:szCs w:val="22"/>
              </w:rPr>
            </w:pPr>
            <w:r>
              <w:rPr>
                <w:rFonts w:eastAsia="SimSun"/>
                <w:color w:val="000000"/>
                <w:sz w:val="22"/>
                <w:szCs w:val="22"/>
                <w:lang w:val="en-US" w:eastAsia="zh-CN" w:bidi="ar"/>
              </w:rPr>
              <w:t>108,07</w:t>
            </w:r>
          </w:p>
        </w:tc>
      </w:tr>
      <w:tr w14:paraId="0EAB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722" w:type="dxa"/>
            <w:shd w:val="clear" w:color="auto" w:fill="auto"/>
            <w:vAlign w:val="center"/>
          </w:tcPr>
          <w:p w14:paraId="0A1FC81A">
            <w:pPr>
              <w:rPr>
                <w:color w:val="000000"/>
                <w:sz w:val="20"/>
                <w:szCs w:val="20"/>
              </w:rPr>
            </w:pPr>
            <w:r>
              <w:rPr>
                <w:color w:val="000000"/>
                <w:sz w:val="20"/>
                <w:szCs w:val="20"/>
              </w:rPr>
              <w:t>Дефицит (-)/ профицит (+)</w:t>
            </w:r>
          </w:p>
        </w:tc>
        <w:tc>
          <w:tcPr>
            <w:tcW w:w="1404" w:type="dxa"/>
            <w:shd w:val="clear" w:color="auto" w:fill="auto"/>
            <w:vAlign w:val="center"/>
          </w:tcPr>
          <w:p w14:paraId="10812E5D">
            <w:pPr>
              <w:jc w:val="center"/>
              <w:textAlignment w:val="center"/>
              <w:rPr>
                <w:color w:val="000000"/>
                <w:sz w:val="22"/>
                <w:szCs w:val="22"/>
              </w:rPr>
            </w:pPr>
            <w:r>
              <w:rPr>
                <w:rFonts w:eastAsia="SimSun"/>
                <w:color w:val="000000"/>
                <w:sz w:val="22"/>
                <w:szCs w:val="22"/>
                <w:lang w:val="en-US" w:eastAsia="zh-CN" w:bidi="ar"/>
              </w:rPr>
              <w:t>6 356,90</w:t>
            </w:r>
          </w:p>
        </w:tc>
        <w:tc>
          <w:tcPr>
            <w:tcW w:w="1456" w:type="dxa"/>
            <w:shd w:val="clear" w:color="auto" w:fill="auto"/>
            <w:vAlign w:val="center"/>
          </w:tcPr>
          <w:p w14:paraId="54688394">
            <w:pPr>
              <w:jc w:val="center"/>
              <w:textAlignment w:val="center"/>
              <w:rPr>
                <w:color w:val="000000"/>
                <w:sz w:val="22"/>
                <w:szCs w:val="22"/>
              </w:rPr>
            </w:pPr>
            <w:r>
              <w:rPr>
                <w:rFonts w:eastAsia="SimSun"/>
                <w:color w:val="000000"/>
                <w:sz w:val="22"/>
                <w:szCs w:val="22"/>
                <w:lang w:val="en-US" w:eastAsia="zh-CN" w:bidi="ar"/>
              </w:rPr>
              <w:t>-7 619,41</w:t>
            </w:r>
          </w:p>
        </w:tc>
        <w:tc>
          <w:tcPr>
            <w:tcW w:w="1390" w:type="dxa"/>
            <w:shd w:val="clear" w:color="auto" w:fill="auto"/>
            <w:vAlign w:val="center"/>
          </w:tcPr>
          <w:p w14:paraId="2F31F49A">
            <w:pPr>
              <w:jc w:val="center"/>
              <w:textAlignment w:val="center"/>
              <w:rPr>
                <w:color w:val="000000"/>
                <w:sz w:val="22"/>
                <w:szCs w:val="22"/>
              </w:rPr>
            </w:pPr>
            <w:r>
              <w:rPr>
                <w:rFonts w:eastAsia="SimSun"/>
                <w:color w:val="000000"/>
                <w:sz w:val="22"/>
                <w:szCs w:val="22"/>
                <w:lang w:val="en-US" w:eastAsia="zh-CN" w:bidi="ar"/>
              </w:rPr>
              <w:t>17 373,47</w:t>
            </w:r>
          </w:p>
        </w:tc>
        <w:tc>
          <w:tcPr>
            <w:tcW w:w="1123" w:type="dxa"/>
            <w:shd w:val="clear" w:color="auto" w:fill="auto"/>
            <w:vAlign w:val="center"/>
          </w:tcPr>
          <w:p w14:paraId="2B1D9194">
            <w:pPr>
              <w:jc w:val="center"/>
              <w:textAlignment w:val="center"/>
              <w:rPr>
                <w:color w:val="000000"/>
                <w:sz w:val="22"/>
                <w:szCs w:val="22"/>
              </w:rPr>
            </w:pPr>
            <w:r>
              <w:rPr>
                <w:rFonts w:eastAsia="SimSun"/>
                <w:color w:val="000000"/>
                <w:sz w:val="22"/>
                <w:szCs w:val="22"/>
                <w:lang w:val="en-US" w:eastAsia="zh-CN" w:bidi="ar"/>
              </w:rPr>
              <w:t>х</w:t>
            </w:r>
          </w:p>
        </w:tc>
        <w:tc>
          <w:tcPr>
            <w:tcW w:w="1276" w:type="dxa"/>
            <w:shd w:val="clear" w:color="auto" w:fill="auto"/>
            <w:vAlign w:val="center"/>
          </w:tcPr>
          <w:p w14:paraId="3B3F67F3">
            <w:pPr>
              <w:jc w:val="center"/>
              <w:textAlignment w:val="center"/>
              <w:rPr>
                <w:color w:val="000000"/>
                <w:sz w:val="22"/>
                <w:szCs w:val="22"/>
              </w:rPr>
            </w:pPr>
            <w:r>
              <w:rPr>
                <w:rFonts w:eastAsia="SimSun"/>
                <w:color w:val="000000"/>
                <w:sz w:val="22"/>
                <w:szCs w:val="22"/>
                <w:lang w:val="en-US" w:eastAsia="zh-CN" w:bidi="ar"/>
              </w:rPr>
              <w:t>х</w:t>
            </w:r>
          </w:p>
        </w:tc>
      </w:tr>
    </w:tbl>
    <w:p w14:paraId="1152DDC9">
      <w:pPr>
        <w:pStyle w:val="10"/>
        <w:ind w:left="0" w:firstLine="567"/>
        <w:jc w:val="both"/>
      </w:pPr>
      <w:r>
        <w:t>Основные параметры исполнения бюджета:</w:t>
      </w:r>
    </w:p>
    <w:p w14:paraId="5E6F434B">
      <w:pPr>
        <w:pStyle w:val="10"/>
        <w:ind w:left="0" w:firstLine="567"/>
        <w:jc w:val="both"/>
      </w:pPr>
      <w:r>
        <w:t xml:space="preserve">- по </w:t>
      </w:r>
      <w:r>
        <w:rPr>
          <w:b/>
          <w:i/>
        </w:rPr>
        <w:t>доходам</w:t>
      </w:r>
      <w:r>
        <w:t xml:space="preserve"> исполнение составило 459148,02 тыс. руб. или 26,04% к утверждённому прогнозу (1763197,89 тыс. руб.), увеличение общего объёма доходов относительно аналогичного периода 2024 года составляет 10,6% или на 44001,27 тыс. руб. за счёт увеличения безвозмездных поступлений на 25812,69 тыс. руб. и собственных доходов бюджета на 18188,58 тыс. руб.</w:t>
      </w:r>
    </w:p>
    <w:p w14:paraId="3C8AC1A6">
      <w:pPr>
        <w:pStyle w:val="10"/>
        <w:ind w:left="0" w:firstLine="567"/>
        <w:jc w:val="both"/>
      </w:pPr>
      <w:r>
        <w:t xml:space="preserve">- по </w:t>
      </w:r>
      <w:r>
        <w:rPr>
          <w:b/>
          <w:i/>
        </w:rPr>
        <w:t>расходам</w:t>
      </w:r>
      <w:r>
        <w:t xml:space="preserve"> исполнение составило 441774,56 тыс. руб. или 24,95% от годовых назначений (1770817,30 тыс. руб.), увеличение общего объёма расходов относительно аналогичного периода 2024 года составляет 8,07 % или на 32984,7 тыс. руб.;</w:t>
      </w:r>
    </w:p>
    <w:p w14:paraId="1B34D330">
      <w:pPr>
        <w:pStyle w:val="10"/>
        <w:ind w:left="0" w:firstLine="567"/>
        <w:jc w:val="both"/>
      </w:pPr>
      <w:r>
        <w:t xml:space="preserve">- по результату исполнения бюджета сложился </w:t>
      </w:r>
      <w:r>
        <w:rPr>
          <w:b/>
          <w:i/>
        </w:rPr>
        <w:t>профицит</w:t>
      </w:r>
      <w:r>
        <w:t xml:space="preserve"> в размере 17373,47 тыс. руб.</w:t>
      </w:r>
    </w:p>
    <w:p w14:paraId="1F408D3A">
      <w:pPr>
        <w:jc w:val="both"/>
        <w:rPr>
          <w:sz w:val="12"/>
          <w:szCs w:val="12"/>
        </w:rPr>
      </w:pPr>
    </w:p>
    <w:p w14:paraId="35E1C28D">
      <w:pPr>
        <w:pStyle w:val="10"/>
        <w:numPr>
          <w:ilvl w:val="0"/>
          <w:numId w:val="1"/>
        </w:numPr>
        <w:jc w:val="center"/>
        <w:rPr>
          <w:b/>
        </w:rPr>
      </w:pPr>
      <w:r>
        <w:rPr>
          <w:b/>
        </w:rPr>
        <w:t>Анализ исполнения доходной части бюджета.</w:t>
      </w:r>
    </w:p>
    <w:p w14:paraId="05DF7053">
      <w:pPr>
        <w:pStyle w:val="10"/>
        <w:ind w:left="1080"/>
        <w:rPr>
          <w:b/>
          <w:sz w:val="12"/>
          <w:szCs w:val="12"/>
        </w:rPr>
      </w:pPr>
    </w:p>
    <w:p w14:paraId="715D1E35">
      <w:pPr>
        <w:ind w:firstLine="567"/>
        <w:jc w:val="both"/>
      </w:pPr>
      <w:r>
        <w:t>За 1 квартал 2025 года</w:t>
      </w:r>
      <w:r>
        <w:rPr>
          <w:b/>
        </w:rPr>
        <w:t xml:space="preserve"> </w:t>
      </w:r>
      <w:r>
        <w:rPr>
          <w:b/>
          <w:i/>
        </w:rPr>
        <w:t xml:space="preserve">в доходную часть бюджета </w:t>
      </w:r>
      <w:r>
        <w:t>поступило 459148,02 тыс. руб., что на 44001,27 тыс. руб. больше чем в аналогичном периоде прошлого года (415 146,75 тыс. руб.), за счёт увеличения налоговых доходов на 11445,87 тыс. руб. (12,84%), неналоговых доходов на 6742,71 тыс. руб. (30,95%) и безвозмездных поступлений на 25812,69 тыс. руб. (8,49%).</w:t>
      </w:r>
    </w:p>
    <w:p w14:paraId="767188C2">
      <w:pPr>
        <w:shd w:val="clear" w:color="auto" w:fill="FFFFFF"/>
        <w:ind w:firstLine="709"/>
        <w:jc w:val="both"/>
      </w:pPr>
      <w:r>
        <w:t>Показатели исполнения собственных доходов бюджета по состоянию на 01.04.2025г. представлены в Таблице №2:</w:t>
      </w:r>
    </w:p>
    <w:p w14:paraId="55FBACDC">
      <w:pPr>
        <w:shd w:val="clear" w:color="auto" w:fill="FFFFFF"/>
        <w:ind w:firstLine="709"/>
        <w:jc w:val="right"/>
      </w:pPr>
      <w:r>
        <w:t>Таблица №2 (тыс. руб.)</w:t>
      </w:r>
    </w:p>
    <w:tbl>
      <w:tblPr>
        <w:tblStyle w:val="3"/>
        <w:tblW w:w="9356" w:type="dxa"/>
        <w:tblInd w:w="0" w:type="dxa"/>
        <w:tblLayout w:type="autofit"/>
        <w:tblCellMar>
          <w:top w:w="0" w:type="dxa"/>
          <w:left w:w="108" w:type="dxa"/>
          <w:bottom w:w="0" w:type="dxa"/>
          <w:right w:w="108" w:type="dxa"/>
        </w:tblCellMar>
      </w:tblPr>
      <w:tblGrid>
        <w:gridCol w:w="2545"/>
        <w:gridCol w:w="1220"/>
        <w:gridCol w:w="1290"/>
        <w:gridCol w:w="1720"/>
        <w:gridCol w:w="1245"/>
        <w:gridCol w:w="1336"/>
      </w:tblGrid>
      <w:tr w14:paraId="04C59E4E">
        <w:tblPrEx>
          <w:tblCellMar>
            <w:top w:w="0" w:type="dxa"/>
            <w:left w:w="108" w:type="dxa"/>
            <w:bottom w:w="0" w:type="dxa"/>
            <w:right w:w="108" w:type="dxa"/>
          </w:tblCellMar>
        </w:tblPrEx>
        <w:trPr>
          <w:trHeight w:val="102" w:hRule="atLeast"/>
        </w:trPr>
        <w:tc>
          <w:tcPr>
            <w:tcW w:w="2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A3A77B">
            <w:pPr>
              <w:jc w:val="center"/>
              <w:textAlignment w:val="center"/>
              <w:rPr>
                <w:color w:val="000000"/>
                <w:sz w:val="20"/>
                <w:szCs w:val="20"/>
              </w:rPr>
            </w:pPr>
            <w:r>
              <w:rPr>
                <w:rFonts w:eastAsia="SimSun"/>
                <w:color w:val="000000"/>
                <w:sz w:val="20"/>
                <w:szCs w:val="20"/>
                <w:lang w:val="en-US" w:eastAsia="zh-CN" w:bidi="ar"/>
              </w:rPr>
              <w:t>Наименование  источника</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D3857">
            <w:pPr>
              <w:jc w:val="center"/>
              <w:textAlignment w:val="center"/>
              <w:rPr>
                <w:color w:val="000000"/>
                <w:sz w:val="20"/>
                <w:szCs w:val="20"/>
              </w:rPr>
            </w:pPr>
            <w:r>
              <w:rPr>
                <w:rFonts w:eastAsia="SimSun"/>
                <w:color w:val="000000"/>
                <w:sz w:val="20"/>
                <w:szCs w:val="20"/>
                <w:lang w:val="en-US" w:eastAsia="zh-CN" w:bidi="ar"/>
              </w:rPr>
              <w:t>исполнение бюджета на 01.04.202</w:t>
            </w:r>
            <w:r>
              <w:rPr>
                <w:rFonts w:eastAsia="SimSun"/>
                <w:color w:val="000000"/>
                <w:sz w:val="20"/>
                <w:szCs w:val="20"/>
                <w:lang w:eastAsia="zh-CN" w:bidi="ar"/>
              </w:rPr>
              <w:t>4</w:t>
            </w:r>
            <w:r>
              <w:rPr>
                <w:rFonts w:eastAsia="SimSun"/>
                <w:color w:val="000000"/>
                <w:sz w:val="20"/>
                <w:szCs w:val="20"/>
                <w:lang w:val="en-US" w:eastAsia="zh-CN" w:bidi="ar"/>
              </w:rPr>
              <w:t>г</w:t>
            </w:r>
          </w:p>
        </w:tc>
        <w:tc>
          <w:tcPr>
            <w:tcW w:w="4255" w:type="dxa"/>
            <w:gridSpan w:val="3"/>
            <w:tcBorders>
              <w:top w:val="single" w:color="auto" w:sz="4" w:space="0"/>
              <w:left w:val="nil"/>
              <w:bottom w:val="single" w:color="auto" w:sz="4" w:space="0"/>
              <w:right w:val="single" w:color="auto" w:sz="4" w:space="0"/>
            </w:tcBorders>
            <w:shd w:val="clear" w:color="auto" w:fill="auto"/>
            <w:vAlign w:val="center"/>
          </w:tcPr>
          <w:p w14:paraId="63D56390">
            <w:pPr>
              <w:jc w:val="center"/>
              <w:textAlignment w:val="center"/>
              <w:rPr>
                <w:b/>
                <w:bCs/>
                <w:color w:val="000000"/>
                <w:sz w:val="20"/>
                <w:szCs w:val="20"/>
              </w:rPr>
            </w:pPr>
            <w:r>
              <w:rPr>
                <w:rFonts w:eastAsia="SimSun"/>
                <w:b/>
                <w:bCs/>
                <w:color w:val="000000"/>
                <w:sz w:val="20"/>
                <w:szCs w:val="20"/>
                <w:lang w:val="en-US" w:eastAsia="zh-CN" w:bidi="ar"/>
              </w:rPr>
              <w:t>202</w:t>
            </w:r>
            <w:r>
              <w:rPr>
                <w:rFonts w:eastAsia="SimSun"/>
                <w:b/>
                <w:bCs/>
                <w:color w:val="000000"/>
                <w:sz w:val="20"/>
                <w:szCs w:val="20"/>
                <w:lang w:eastAsia="zh-CN" w:bidi="ar"/>
              </w:rPr>
              <w:t>5</w:t>
            </w:r>
            <w:r>
              <w:rPr>
                <w:rFonts w:eastAsia="SimSun"/>
                <w:b/>
                <w:bCs/>
                <w:color w:val="000000"/>
                <w:sz w:val="20"/>
                <w:szCs w:val="20"/>
                <w:lang w:val="en-US" w:eastAsia="zh-CN" w:bidi="ar"/>
              </w:rPr>
              <w:t xml:space="preserve"> год</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EF3362">
            <w:pPr>
              <w:jc w:val="center"/>
              <w:textAlignment w:val="center"/>
              <w:rPr>
                <w:color w:val="000000"/>
                <w:sz w:val="20"/>
                <w:szCs w:val="20"/>
              </w:rPr>
            </w:pPr>
            <w:r>
              <w:rPr>
                <w:rFonts w:eastAsia="SimSun"/>
                <w:color w:val="000000"/>
                <w:sz w:val="20"/>
                <w:szCs w:val="20"/>
                <w:lang w:eastAsia="zh-CN" w:bidi="ar"/>
              </w:rPr>
              <w:t>Темпы роста 2025 к 2024 (%) гр.4/гр.2*100</w:t>
            </w:r>
          </w:p>
        </w:tc>
      </w:tr>
      <w:tr w14:paraId="37171AA3">
        <w:tblPrEx>
          <w:tblCellMar>
            <w:top w:w="0" w:type="dxa"/>
            <w:left w:w="108" w:type="dxa"/>
            <w:bottom w:w="0" w:type="dxa"/>
            <w:right w:w="108" w:type="dxa"/>
          </w:tblCellMar>
        </w:tblPrEx>
        <w:trPr>
          <w:trHeight w:val="600" w:hRule="atLeast"/>
        </w:trPr>
        <w:tc>
          <w:tcPr>
            <w:tcW w:w="2545" w:type="dxa"/>
            <w:vMerge w:val="continue"/>
            <w:tcBorders>
              <w:top w:val="single" w:color="auto" w:sz="4" w:space="0"/>
              <w:left w:val="single" w:color="auto" w:sz="4" w:space="0"/>
              <w:bottom w:val="single" w:color="auto" w:sz="4" w:space="0"/>
              <w:right w:val="single" w:color="auto" w:sz="4" w:space="0"/>
            </w:tcBorders>
            <w:vAlign w:val="center"/>
          </w:tcPr>
          <w:p w14:paraId="41BA178B">
            <w:pPr>
              <w:jc w:val="center"/>
              <w:rPr>
                <w:color w:val="000000"/>
                <w:sz w:val="20"/>
                <w:szCs w:val="20"/>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440538AA">
            <w:pPr>
              <w:jc w:val="center"/>
              <w:rPr>
                <w:color w:val="000000"/>
                <w:sz w:val="20"/>
                <w:szCs w:val="20"/>
              </w:rPr>
            </w:pPr>
          </w:p>
        </w:tc>
        <w:tc>
          <w:tcPr>
            <w:tcW w:w="1290" w:type="dxa"/>
            <w:tcBorders>
              <w:top w:val="nil"/>
              <w:left w:val="nil"/>
              <w:bottom w:val="single" w:color="auto" w:sz="4" w:space="0"/>
              <w:right w:val="single" w:color="auto" w:sz="4" w:space="0"/>
            </w:tcBorders>
            <w:shd w:val="clear" w:color="auto" w:fill="auto"/>
            <w:vAlign w:val="center"/>
          </w:tcPr>
          <w:p w14:paraId="484877F7">
            <w:pPr>
              <w:jc w:val="center"/>
              <w:textAlignment w:val="center"/>
              <w:rPr>
                <w:color w:val="000000"/>
                <w:sz w:val="20"/>
                <w:szCs w:val="20"/>
              </w:rPr>
            </w:pPr>
            <w:r>
              <w:rPr>
                <w:rFonts w:eastAsia="SimSun"/>
                <w:color w:val="000000"/>
                <w:sz w:val="20"/>
                <w:szCs w:val="20"/>
                <w:lang w:val="en-US" w:eastAsia="zh-CN" w:bidi="ar"/>
              </w:rPr>
              <w:t>Прогноз</w:t>
            </w:r>
          </w:p>
        </w:tc>
        <w:tc>
          <w:tcPr>
            <w:tcW w:w="1720" w:type="dxa"/>
            <w:tcBorders>
              <w:top w:val="nil"/>
              <w:left w:val="nil"/>
              <w:bottom w:val="single" w:color="auto" w:sz="4" w:space="0"/>
              <w:right w:val="single" w:color="auto" w:sz="4" w:space="0"/>
            </w:tcBorders>
            <w:shd w:val="clear" w:color="auto" w:fill="auto"/>
            <w:vAlign w:val="center"/>
          </w:tcPr>
          <w:p w14:paraId="5419F74F">
            <w:pPr>
              <w:jc w:val="center"/>
              <w:textAlignment w:val="center"/>
              <w:rPr>
                <w:color w:val="000000"/>
                <w:sz w:val="20"/>
                <w:szCs w:val="20"/>
              </w:rPr>
            </w:pPr>
            <w:r>
              <w:rPr>
                <w:rFonts w:eastAsia="SimSun"/>
                <w:color w:val="000000"/>
                <w:sz w:val="20"/>
                <w:szCs w:val="20"/>
                <w:lang w:val="en-US" w:eastAsia="zh-CN" w:bidi="ar"/>
              </w:rPr>
              <w:t>исполнение на 01.04.202</w:t>
            </w:r>
            <w:r>
              <w:rPr>
                <w:rFonts w:eastAsia="SimSun"/>
                <w:color w:val="000000"/>
                <w:sz w:val="20"/>
                <w:szCs w:val="20"/>
                <w:lang w:eastAsia="zh-CN" w:bidi="ar"/>
              </w:rPr>
              <w:t xml:space="preserve">5 </w:t>
            </w:r>
            <w:r>
              <w:rPr>
                <w:rFonts w:eastAsia="SimSun"/>
                <w:color w:val="000000"/>
                <w:sz w:val="20"/>
                <w:szCs w:val="20"/>
                <w:lang w:val="en-US" w:eastAsia="zh-CN" w:bidi="ar"/>
              </w:rPr>
              <w:t xml:space="preserve">г </w:t>
            </w:r>
          </w:p>
        </w:tc>
        <w:tc>
          <w:tcPr>
            <w:tcW w:w="1245" w:type="dxa"/>
            <w:tcBorders>
              <w:top w:val="nil"/>
              <w:left w:val="nil"/>
              <w:bottom w:val="single" w:color="auto" w:sz="4" w:space="0"/>
              <w:right w:val="single" w:color="auto" w:sz="4" w:space="0"/>
            </w:tcBorders>
            <w:shd w:val="clear" w:color="auto" w:fill="auto"/>
            <w:vAlign w:val="center"/>
          </w:tcPr>
          <w:p w14:paraId="637F7D31">
            <w:pPr>
              <w:jc w:val="center"/>
              <w:textAlignment w:val="center"/>
              <w:rPr>
                <w:color w:val="000000"/>
                <w:sz w:val="20"/>
                <w:szCs w:val="20"/>
              </w:rPr>
            </w:pPr>
            <w:r>
              <w:rPr>
                <w:rFonts w:eastAsia="SimSun"/>
                <w:color w:val="000000"/>
                <w:sz w:val="20"/>
                <w:szCs w:val="20"/>
                <w:lang w:val="en-US" w:eastAsia="zh-CN" w:bidi="ar"/>
              </w:rPr>
              <w:t>% исполнения</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76DB1B51">
            <w:pPr>
              <w:jc w:val="center"/>
              <w:rPr>
                <w:color w:val="000000"/>
                <w:sz w:val="20"/>
                <w:szCs w:val="20"/>
              </w:rPr>
            </w:pPr>
          </w:p>
        </w:tc>
      </w:tr>
      <w:tr w14:paraId="35C810A5">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1C6F49AB">
            <w:pPr>
              <w:jc w:val="center"/>
              <w:textAlignment w:val="center"/>
              <w:rPr>
                <w:color w:val="000000"/>
                <w:sz w:val="20"/>
                <w:szCs w:val="20"/>
              </w:rPr>
            </w:pPr>
            <w:r>
              <w:rPr>
                <w:rFonts w:eastAsia="SimSun"/>
                <w:color w:val="000000"/>
                <w:sz w:val="20"/>
                <w:szCs w:val="20"/>
                <w:lang w:val="en-US" w:eastAsia="zh-CN" w:bidi="ar"/>
              </w:rPr>
              <w:t>гр.1</w:t>
            </w:r>
          </w:p>
        </w:tc>
        <w:tc>
          <w:tcPr>
            <w:tcW w:w="1220" w:type="dxa"/>
            <w:tcBorders>
              <w:top w:val="nil"/>
              <w:left w:val="nil"/>
              <w:bottom w:val="single" w:color="auto" w:sz="4" w:space="0"/>
              <w:right w:val="single" w:color="auto" w:sz="4" w:space="0"/>
            </w:tcBorders>
            <w:shd w:val="clear" w:color="auto" w:fill="auto"/>
            <w:vAlign w:val="center"/>
          </w:tcPr>
          <w:p w14:paraId="0D605F09">
            <w:pPr>
              <w:jc w:val="center"/>
              <w:textAlignment w:val="center"/>
              <w:rPr>
                <w:color w:val="000000"/>
                <w:sz w:val="20"/>
                <w:szCs w:val="20"/>
              </w:rPr>
            </w:pPr>
            <w:r>
              <w:rPr>
                <w:rFonts w:eastAsia="SimSun"/>
                <w:color w:val="000000"/>
                <w:sz w:val="20"/>
                <w:szCs w:val="20"/>
                <w:lang w:val="en-US" w:eastAsia="zh-CN" w:bidi="ar"/>
              </w:rPr>
              <w:t>гр.2</w:t>
            </w:r>
          </w:p>
        </w:tc>
        <w:tc>
          <w:tcPr>
            <w:tcW w:w="1290" w:type="dxa"/>
            <w:tcBorders>
              <w:top w:val="nil"/>
              <w:left w:val="nil"/>
              <w:bottom w:val="single" w:color="auto" w:sz="4" w:space="0"/>
              <w:right w:val="single" w:color="auto" w:sz="4" w:space="0"/>
            </w:tcBorders>
            <w:shd w:val="clear" w:color="auto" w:fill="auto"/>
            <w:vAlign w:val="center"/>
          </w:tcPr>
          <w:p w14:paraId="1993978E">
            <w:pPr>
              <w:jc w:val="center"/>
              <w:textAlignment w:val="center"/>
              <w:rPr>
                <w:color w:val="000000"/>
                <w:sz w:val="20"/>
                <w:szCs w:val="20"/>
              </w:rPr>
            </w:pPr>
            <w:r>
              <w:rPr>
                <w:rFonts w:eastAsia="SimSun"/>
                <w:color w:val="000000"/>
                <w:sz w:val="20"/>
                <w:szCs w:val="20"/>
                <w:lang w:val="en-US" w:eastAsia="zh-CN" w:bidi="ar"/>
              </w:rPr>
              <w:t>гр.3</w:t>
            </w:r>
          </w:p>
        </w:tc>
        <w:tc>
          <w:tcPr>
            <w:tcW w:w="1720" w:type="dxa"/>
            <w:tcBorders>
              <w:top w:val="nil"/>
              <w:left w:val="nil"/>
              <w:bottom w:val="single" w:color="auto" w:sz="4" w:space="0"/>
              <w:right w:val="single" w:color="auto" w:sz="4" w:space="0"/>
            </w:tcBorders>
            <w:shd w:val="clear" w:color="auto" w:fill="auto"/>
            <w:vAlign w:val="center"/>
          </w:tcPr>
          <w:p w14:paraId="42728501">
            <w:pPr>
              <w:jc w:val="center"/>
              <w:textAlignment w:val="center"/>
              <w:rPr>
                <w:color w:val="000000"/>
                <w:sz w:val="20"/>
                <w:szCs w:val="20"/>
              </w:rPr>
            </w:pPr>
            <w:r>
              <w:rPr>
                <w:rFonts w:eastAsia="SimSun"/>
                <w:color w:val="000000"/>
                <w:sz w:val="20"/>
                <w:szCs w:val="20"/>
                <w:lang w:val="en-US" w:eastAsia="zh-CN" w:bidi="ar"/>
              </w:rPr>
              <w:t>гр.4</w:t>
            </w:r>
          </w:p>
        </w:tc>
        <w:tc>
          <w:tcPr>
            <w:tcW w:w="1245" w:type="dxa"/>
            <w:tcBorders>
              <w:top w:val="nil"/>
              <w:left w:val="nil"/>
              <w:bottom w:val="single" w:color="auto" w:sz="4" w:space="0"/>
              <w:right w:val="single" w:color="auto" w:sz="4" w:space="0"/>
            </w:tcBorders>
            <w:shd w:val="clear" w:color="auto" w:fill="auto"/>
            <w:vAlign w:val="center"/>
          </w:tcPr>
          <w:p w14:paraId="75EB9F64">
            <w:pPr>
              <w:jc w:val="center"/>
              <w:textAlignment w:val="center"/>
              <w:rPr>
                <w:color w:val="000000"/>
                <w:sz w:val="20"/>
                <w:szCs w:val="20"/>
              </w:rPr>
            </w:pPr>
            <w:r>
              <w:rPr>
                <w:rFonts w:eastAsia="SimSun"/>
                <w:color w:val="000000"/>
                <w:sz w:val="20"/>
                <w:szCs w:val="20"/>
                <w:lang w:val="en-US" w:eastAsia="zh-CN" w:bidi="ar"/>
              </w:rPr>
              <w:t>гр.5</w:t>
            </w:r>
          </w:p>
        </w:tc>
        <w:tc>
          <w:tcPr>
            <w:tcW w:w="1336" w:type="dxa"/>
            <w:tcBorders>
              <w:top w:val="nil"/>
              <w:left w:val="nil"/>
              <w:bottom w:val="single" w:color="auto" w:sz="4" w:space="0"/>
              <w:right w:val="single" w:color="auto" w:sz="4" w:space="0"/>
            </w:tcBorders>
            <w:shd w:val="clear" w:color="auto" w:fill="auto"/>
            <w:vAlign w:val="center"/>
          </w:tcPr>
          <w:p w14:paraId="2157969D">
            <w:pPr>
              <w:jc w:val="center"/>
              <w:textAlignment w:val="center"/>
              <w:rPr>
                <w:color w:val="000000"/>
                <w:sz w:val="20"/>
                <w:szCs w:val="20"/>
              </w:rPr>
            </w:pPr>
            <w:r>
              <w:rPr>
                <w:rFonts w:eastAsia="SimSun"/>
                <w:color w:val="000000"/>
                <w:sz w:val="20"/>
                <w:szCs w:val="20"/>
                <w:lang w:val="en-US" w:eastAsia="zh-CN" w:bidi="ar"/>
              </w:rPr>
              <w:t>гр.6</w:t>
            </w:r>
          </w:p>
        </w:tc>
      </w:tr>
      <w:tr w14:paraId="6135ACFC">
        <w:tblPrEx>
          <w:tblCellMar>
            <w:top w:w="0" w:type="dxa"/>
            <w:left w:w="108" w:type="dxa"/>
            <w:bottom w:w="0" w:type="dxa"/>
            <w:right w:w="108" w:type="dxa"/>
          </w:tblCellMar>
        </w:tblPrEx>
        <w:trPr>
          <w:trHeight w:val="559"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6946FF43">
            <w:pPr>
              <w:textAlignment w:val="center"/>
              <w:rPr>
                <w:b/>
                <w:bCs/>
                <w:color w:val="000000"/>
                <w:sz w:val="20"/>
                <w:szCs w:val="20"/>
              </w:rPr>
            </w:pPr>
            <w:r>
              <w:rPr>
                <w:rFonts w:eastAsia="SimSun"/>
                <w:b/>
                <w:bCs/>
                <w:color w:val="000000"/>
                <w:sz w:val="20"/>
                <w:szCs w:val="20"/>
                <w:lang w:eastAsia="zh-CN" w:bidi="ar"/>
              </w:rPr>
              <w:t>Налоговые и неналоговые доходы, из них:</w:t>
            </w:r>
          </w:p>
        </w:tc>
        <w:tc>
          <w:tcPr>
            <w:tcW w:w="1220" w:type="dxa"/>
            <w:tcBorders>
              <w:top w:val="nil"/>
              <w:left w:val="nil"/>
              <w:bottom w:val="single" w:color="auto" w:sz="4" w:space="0"/>
              <w:right w:val="single" w:color="auto" w:sz="4" w:space="0"/>
            </w:tcBorders>
            <w:shd w:val="clear" w:color="auto" w:fill="auto"/>
            <w:vAlign w:val="bottom"/>
          </w:tcPr>
          <w:p w14:paraId="6E481B8D">
            <w:pPr>
              <w:jc w:val="center"/>
              <w:textAlignment w:val="bottom"/>
              <w:rPr>
                <w:b/>
                <w:bCs/>
                <w:color w:val="000000"/>
                <w:sz w:val="20"/>
                <w:szCs w:val="20"/>
              </w:rPr>
            </w:pPr>
            <w:r>
              <w:rPr>
                <w:rFonts w:eastAsia="SimSun"/>
                <w:b/>
                <w:bCs/>
                <w:color w:val="000000"/>
                <w:sz w:val="20"/>
                <w:szCs w:val="20"/>
                <w:lang w:val="en-US" w:eastAsia="zh-CN" w:bidi="ar"/>
              </w:rPr>
              <w:t>110 943,25</w:t>
            </w:r>
          </w:p>
        </w:tc>
        <w:tc>
          <w:tcPr>
            <w:tcW w:w="1290" w:type="dxa"/>
            <w:tcBorders>
              <w:top w:val="nil"/>
              <w:left w:val="nil"/>
              <w:bottom w:val="single" w:color="auto" w:sz="4" w:space="0"/>
              <w:right w:val="single" w:color="auto" w:sz="4" w:space="0"/>
            </w:tcBorders>
            <w:shd w:val="clear" w:color="auto" w:fill="auto"/>
            <w:vAlign w:val="bottom"/>
          </w:tcPr>
          <w:p w14:paraId="4ED6CC6B">
            <w:pPr>
              <w:jc w:val="center"/>
              <w:textAlignment w:val="bottom"/>
              <w:rPr>
                <w:b/>
                <w:bCs/>
                <w:color w:val="000000"/>
                <w:sz w:val="20"/>
                <w:szCs w:val="20"/>
              </w:rPr>
            </w:pPr>
            <w:r>
              <w:rPr>
                <w:rFonts w:eastAsia="SimSun"/>
                <w:b/>
                <w:bCs/>
                <w:color w:val="000000"/>
                <w:sz w:val="20"/>
                <w:szCs w:val="20"/>
                <w:lang w:val="en-US" w:eastAsia="zh-CN" w:bidi="ar"/>
              </w:rPr>
              <w:t>637 134,65</w:t>
            </w:r>
          </w:p>
        </w:tc>
        <w:tc>
          <w:tcPr>
            <w:tcW w:w="1720" w:type="dxa"/>
            <w:tcBorders>
              <w:top w:val="nil"/>
              <w:left w:val="nil"/>
              <w:bottom w:val="single" w:color="auto" w:sz="4" w:space="0"/>
              <w:right w:val="single" w:color="auto" w:sz="4" w:space="0"/>
            </w:tcBorders>
            <w:shd w:val="clear" w:color="auto" w:fill="auto"/>
            <w:vAlign w:val="bottom"/>
          </w:tcPr>
          <w:p w14:paraId="33F8357F">
            <w:pPr>
              <w:jc w:val="center"/>
              <w:textAlignment w:val="bottom"/>
              <w:rPr>
                <w:b/>
                <w:bCs/>
                <w:color w:val="000000"/>
                <w:sz w:val="20"/>
                <w:szCs w:val="20"/>
              </w:rPr>
            </w:pPr>
            <w:r>
              <w:rPr>
                <w:rFonts w:eastAsia="SimSun"/>
                <w:b/>
                <w:bCs/>
                <w:color w:val="000000"/>
                <w:sz w:val="20"/>
                <w:szCs w:val="20"/>
                <w:lang w:val="en-US" w:eastAsia="zh-CN" w:bidi="ar"/>
              </w:rPr>
              <w:t>129 131,83</w:t>
            </w:r>
          </w:p>
        </w:tc>
        <w:tc>
          <w:tcPr>
            <w:tcW w:w="1245" w:type="dxa"/>
            <w:tcBorders>
              <w:top w:val="nil"/>
              <w:left w:val="nil"/>
              <w:bottom w:val="single" w:color="auto" w:sz="4" w:space="0"/>
              <w:right w:val="single" w:color="auto" w:sz="4" w:space="0"/>
            </w:tcBorders>
            <w:shd w:val="clear" w:color="auto" w:fill="auto"/>
            <w:vAlign w:val="bottom"/>
          </w:tcPr>
          <w:p w14:paraId="04700B96">
            <w:pPr>
              <w:jc w:val="center"/>
              <w:textAlignment w:val="bottom"/>
              <w:rPr>
                <w:b/>
                <w:bCs/>
                <w:color w:val="000000"/>
                <w:sz w:val="20"/>
                <w:szCs w:val="20"/>
              </w:rPr>
            </w:pPr>
            <w:r>
              <w:rPr>
                <w:rFonts w:eastAsia="SimSun"/>
                <w:b/>
                <w:bCs/>
                <w:color w:val="000000"/>
                <w:sz w:val="20"/>
                <w:szCs w:val="20"/>
                <w:lang w:val="en-US" w:eastAsia="zh-CN" w:bidi="ar"/>
              </w:rPr>
              <w:t>20,27</w:t>
            </w:r>
          </w:p>
        </w:tc>
        <w:tc>
          <w:tcPr>
            <w:tcW w:w="1336" w:type="dxa"/>
            <w:tcBorders>
              <w:top w:val="nil"/>
              <w:left w:val="nil"/>
              <w:bottom w:val="single" w:color="auto" w:sz="4" w:space="0"/>
              <w:right w:val="single" w:color="auto" w:sz="4" w:space="0"/>
            </w:tcBorders>
            <w:shd w:val="clear" w:color="auto" w:fill="auto"/>
            <w:vAlign w:val="bottom"/>
          </w:tcPr>
          <w:p w14:paraId="18D8DE9E">
            <w:pPr>
              <w:jc w:val="center"/>
              <w:textAlignment w:val="bottom"/>
              <w:rPr>
                <w:b/>
                <w:bCs/>
                <w:color w:val="000000"/>
                <w:sz w:val="20"/>
                <w:szCs w:val="20"/>
              </w:rPr>
            </w:pPr>
            <w:r>
              <w:rPr>
                <w:rFonts w:eastAsia="SimSun"/>
                <w:b/>
                <w:bCs/>
                <w:color w:val="000000"/>
                <w:sz w:val="20"/>
                <w:szCs w:val="20"/>
                <w:lang w:val="en-US" w:eastAsia="zh-CN" w:bidi="ar"/>
              </w:rPr>
              <w:t>116,39</w:t>
            </w:r>
          </w:p>
        </w:tc>
      </w:tr>
      <w:tr w14:paraId="7B9F12A9">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49A98FA2">
            <w:pPr>
              <w:textAlignment w:val="center"/>
              <w:rPr>
                <w:b/>
                <w:bCs/>
                <w:color w:val="000000"/>
                <w:sz w:val="20"/>
                <w:szCs w:val="20"/>
              </w:rPr>
            </w:pPr>
            <w:r>
              <w:rPr>
                <w:rFonts w:eastAsia="SimSun"/>
                <w:b/>
                <w:bCs/>
                <w:color w:val="000000"/>
                <w:sz w:val="20"/>
                <w:szCs w:val="20"/>
                <w:lang w:eastAsia="zh-CN" w:bidi="ar"/>
              </w:rPr>
              <w:t>Налоговые доходы, в том числе:</w:t>
            </w:r>
          </w:p>
        </w:tc>
        <w:tc>
          <w:tcPr>
            <w:tcW w:w="1220" w:type="dxa"/>
            <w:tcBorders>
              <w:top w:val="nil"/>
              <w:left w:val="nil"/>
              <w:bottom w:val="single" w:color="auto" w:sz="4" w:space="0"/>
              <w:right w:val="single" w:color="auto" w:sz="4" w:space="0"/>
            </w:tcBorders>
            <w:shd w:val="clear" w:color="000000" w:fill="FFFFFF"/>
            <w:vAlign w:val="bottom"/>
          </w:tcPr>
          <w:p w14:paraId="31F54ED2">
            <w:pPr>
              <w:jc w:val="center"/>
              <w:textAlignment w:val="bottom"/>
              <w:rPr>
                <w:color w:val="000000"/>
                <w:sz w:val="20"/>
                <w:szCs w:val="20"/>
              </w:rPr>
            </w:pPr>
            <w:r>
              <w:rPr>
                <w:rFonts w:eastAsia="SimSun"/>
                <w:b/>
                <w:bCs/>
                <w:color w:val="000000"/>
                <w:sz w:val="20"/>
                <w:szCs w:val="20"/>
                <w:lang w:val="en-US" w:eastAsia="zh-CN" w:bidi="ar"/>
              </w:rPr>
              <w:t>89 154,94</w:t>
            </w:r>
          </w:p>
        </w:tc>
        <w:tc>
          <w:tcPr>
            <w:tcW w:w="1290" w:type="dxa"/>
            <w:tcBorders>
              <w:top w:val="nil"/>
              <w:left w:val="nil"/>
              <w:bottom w:val="single" w:color="auto" w:sz="4" w:space="0"/>
              <w:right w:val="single" w:color="auto" w:sz="4" w:space="0"/>
            </w:tcBorders>
            <w:shd w:val="clear" w:color="000000" w:fill="FFFFFF"/>
            <w:vAlign w:val="bottom"/>
          </w:tcPr>
          <w:p w14:paraId="23C18779">
            <w:pPr>
              <w:jc w:val="center"/>
              <w:textAlignment w:val="bottom"/>
              <w:rPr>
                <w:color w:val="000000"/>
                <w:sz w:val="20"/>
                <w:szCs w:val="20"/>
              </w:rPr>
            </w:pPr>
            <w:r>
              <w:rPr>
                <w:rFonts w:eastAsia="SimSun"/>
                <w:b/>
                <w:bCs/>
                <w:color w:val="000000"/>
                <w:sz w:val="20"/>
                <w:szCs w:val="20"/>
                <w:lang w:val="en-US" w:eastAsia="zh-CN" w:bidi="ar"/>
              </w:rPr>
              <w:t>529 951,41</w:t>
            </w:r>
          </w:p>
        </w:tc>
        <w:tc>
          <w:tcPr>
            <w:tcW w:w="1720" w:type="dxa"/>
            <w:tcBorders>
              <w:top w:val="nil"/>
              <w:left w:val="nil"/>
              <w:bottom w:val="single" w:color="auto" w:sz="4" w:space="0"/>
              <w:right w:val="single" w:color="auto" w:sz="4" w:space="0"/>
            </w:tcBorders>
            <w:shd w:val="clear" w:color="000000" w:fill="FFFFFF"/>
            <w:vAlign w:val="bottom"/>
          </w:tcPr>
          <w:p w14:paraId="5946F6DE">
            <w:pPr>
              <w:jc w:val="center"/>
              <w:textAlignment w:val="bottom"/>
              <w:rPr>
                <w:color w:val="000000"/>
                <w:sz w:val="20"/>
                <w:szCs w:val="20"/>
              </w:rPr>
            </w:pPr>
            <w:r>
              <w:rPr>
                <w:rFonts w:eastAsia="SimSun"/>
                <w:b/>
                <w:bCs/>
                <w:color w:val="000000"/>
                <w:sz w:val="20"/>
                <w:szCs w:val="20"/>
                <w:lang w:val="en-US" w:eastAsia="zh-CN" w:bidi="ar"/>
              </w:rPr>
              <w:t>100 600,81</w:t>
            </w:r>
          </w:p>
        </w:tc>
        <w:tc>
          <w:tcPr>
            <w:tcW w:w="1245" w:type="dxa"/>
            <w:tcBorders>
              <w:top w:val="nil"/>
              <w:left w:val="nil"/>
              <w:bottom w:val="single" w:color="auto" w:sz="4" w:space="0"/>
              <w:right w:val="single" w:color="auto" w:sz="4" w:space="0"/>
            </w:tcBorders>
            <w:shd w:val="clear" w:color="auto" w:fill="auto"/>
            <w:vAlign w:val="bottom"/>
          </w:tcPr>
          <w:p w14:paraId="1A0C5E19">
            <w:pPr>
              <w:jc w:val="center"/>
              <w:textAlignment w:val="bottom"/>
              <w:rPr>
                <w:b/>
                <w:bCs/>
                <w:color w:val="000000"/>
                <w:sz w:val="20"/>
                <w:szCs w:val="20"/>
              </w:rPr>
            </w:pPr>
            <w:r>
              <w:rPr>
                <w:rFonts w:eastAsia="SimSun"/>
                <w:b/>
                <w:bCs/>
                <w:color w:val="000000"/>
                <w:sz w:val="20"/>
                <w:szCs w:val="20"/>
                <w:lang w:val="en-US" w:eastAsia="zh-CN" w:bidi="ar"/>
              </w:rPr>
              <w:t>18,98</w:t>
            </w:r>
          </w:p>
        </w:tc>
        <w:tc>
          <w:tcPr>
            <w:tcW w:w="1336" w:type="dxa"/>
            <w:tcBorders>
              <w:top w:val="nil"/>
              <w:left w:val="nil"/>
              <w:bottom w:val="single" w:color="auto" w:sz="4" w:space="0"/>
              <w:right w:val="single" w:color="auto" w:sz="4" w:space="0"/>
            </w:tcBorders>
            <w:shd w:val="clear" w:color="auto" w:fill="auto"/>
            <w:vAlign w:val="bottom"/>
          </w:tcPr>
          <w:p w14:paraId="638BFC39">
            <w:pPr>
              <w:jc w:val="center"/>
              <w:textAlignment w:val="bottom"/>
              <w:rPr>
                <w:b/>
                <w:bCs/>
                <w:color w:val="000000"/>
                <w:sz w:val="20"/>
                <w:szCs w:val="20"/>
              </w:rPr>
            </w:pPr>
            <w:r>
              <w:rPr>
                <w:rFonts w:eastAsia="SimSun"/>
                <w:b/>
                <w:bCs/>
                <w:color w:val="000000"/>
                <w:sz w:val="20"/>
                <w:szCs w:val="20"/>
                <w:lang w:val="en-US" w:eastAsia="zh-CN" w:bidi="ar"/>
              </w:rPr>
              <w:t>112,84</w:t>
            </w:r>
          </w:p>
        </w:tc>
      </w:tr>
      <w:tr w14:paraId="1D7D2395">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23FF35CD">
            <w:pPr>
              <w:textAlignment w:val="center"/>
              <w:rPr>
                <w:color w:val="000000"/>
                <w:sz w:val="20"/>
                <w:szCs w:val="20"/>
              </w:rPr>
            </w:pPr>
            <w:r>
              <w:rPr>
                <w:rFonts w:eastAsia="SimSun"/>
                <w:color w:val="000000"/>
                <w:sz w:val="20"/>
                <w:szCs w:val="20"/>
                <w:lang w:val="en-US" w:eastAsia="zh-CN" w:bidi="ar"/>
              </w:rPr>
              <w:t>НДФЛ</w:t>
            </w:r>
          </w:p>
        </w:tc>
        <w:tc>
          <w:tcPr>
            <w:tcW w:w="1220" w:type="dxa"/>
            <w:tcBorders>
              <w:top w:val="nil"/>
              <w:left w:val="nil"/>
              <w:bottom w:val="single" w:color="auto" w:sz="4" w:space="0"/>
              <w:right w:val="single" w:color="auto" w:sz="4" w:space="0"/>
            </w:tcBorders>
            <w:shd w:val="clear" w:color="000000" w:fill="FFFFFF"/>
            <w:noWrap/>
            <w:vAlign w:val="bottom"/>
          </w:tcPr>
          <w:p w14:paraId="5DC29423">
            <w:pPr>
              <w:jc w:val="center"/>
              <w:textAlignment w:val="bottom"/>
              <w:rPr>
                <w:color w:val="000000"/>
                <w:sz w:val="20"/>
                <w:szCs w:val="20"/>
              </w:rPr>
            </w:pPr>
            <w:r>
              <w:rPr>
                <w:rFonts w:eastAsia="SimSun"/>
                <w:color w:val="000000"/>
                <w:sz w:val="20"/>
                <w:szCs w:val="20"/>
                <w:lang w:val="en-US" w:eastAsia="zh-CN" w:bidi="ar"/>
              </w:rPr>
              <w:t>58 788,81</w:t>
            </w:r>
          </w:p>
        </w:tc>
        <w:tc>
          <w:tcPr>
            <w:tcW w:w="1290" w:type="dxa"/>
            <w:tcBorders>
              <w:top w:val="nil"/>
              <w:left w:val="nil"/>
              <w:bottom w:val="single" w:color="auto" w:sz="4" w:space="0"/>
              <w:right w:val="single" w:color="auto" w:sz="4" w:space="0"/>
            </w:tcBorders>
            <w:shd w:val="clear" w:color="auto" w:fill="auto"/>
            <w:noWrap/>
            <w:vAlign w:val="bottom"/>
          </w:tcPr>
          <w:p w14:paraId="66A2CE66">
            <w:pPr>
              <w:jc w:val="center"/>
              <w:textAlignment w:val="bottom"/>
              <w:rPr>
                <w:color w:val="000000"/>
                <w:sz w:val="20"/>
                <w:szCs w:val="20"/>
              </w:rPr>
            </w:pPr>
            <w:r>
              <w:rPr>
                <w:rFonts w:eastAsia="SimSun"/>
                <w:color w:val="000000"/>
                <w:sz w:val="20"/>
                <w:szCs w:val="20"/>
                <w:lang w:val="en-US" w:eastAsia="zh-CN" w:bidi="ar"/>
              </w:rPr>
              <w:t xml:space="preserve">383 570,00 </w:t>
            </w:r>
          </w:p>
        </w:tc>
        <w:tc>
          <w:tcPr>
            <w:tcW w:w="1720" w:type="dxa"/>
            <w:tcBorders>
              <w:top w:val="nil"/>
              <w:left w:val="nil"/>
              <w:bottom w:val="single" w:color="auto" w:sz="4" w:space="0"/>
              <w:right w:val="single" w:color="auto" w:sz="4" w:space="0"/>
            </w:tcBorders>
            <w:shd w:val="clear" w:color="000000" w:fill="FFFFFF"/>
            <w:noWrap/>
            <w:vAlign w:val="bottom"/>
          </w:tcPr>
          <w:p w14:paraId="668E10D2">
            <w:pPr>
              <w:jc w:val="center"/>
              <w:textAlignment w:val="bottom"/>
              <w:rPr>
                <w:color w:val="000000"/>
                <w:sz w:val="20"/>
                <w:szCs w:val="20"/>
              </w:rPr>
            </w:pPr>
            <w:r>
              <w:rPr>
                <w:rFonts w:eastAsia="SimSun"/>
                <w:color w:val="000000"/>
                <w:sz w:val="20"/>
                <w:szCs w:val="20"/>
                <w:lang w:val="en-US" w:eastAsia="zh-CN" w:bidi="ar"/>
              </w:rPr>
              <w:t>64 976,04</w:t>
            </w:r>
          </w:p>
        </w:tc>
        <w:tc>
          <w:tcPr>
            <w:tcW w:w="1245" w:type="dxa"/>
            <w:tcBorders>
              <w:top w:val="nil"/>
              <w:left w:val="nil"/>
              <w:bottom w:val="single" w:color="auto" w:sz="4" w:space="0"/>
              <w:right w:val="single" w:color="auto" w:sz="4" w:space="0"/>
            </w:tcBorders>
            <w:shd w:val="clear" w:color="auto" w:fill="auto"/>
            <w:vAlign w:val="bottom"/>
          </w:tcPr>
          <w:p w14:paraId="69611DB5">
            <w:pPr>
              <w:jc w:val="center"/>
              <w:textAlignment w:val="bottom"/>
              <w:rPr>
                <w:color w:val="000000"/>
                <w:sz w:val="20"/>
                <w:szCs w:val="20"/>
              </w:rPr>
            </w:pPr>
            <w:r>
              <w:rPr>
                <w:rFonts w:eastAsia="SimSun"/>
                <w:color w:val="000000"/>
                <w:sz w:val="20"/>
                <w:szCs w:val="20"/>
                <w:lang w:val="en-US" w:eastAsia="zh-CN" w:bidi="ar"/>
              </w:rPr>
              <w:t>16,94</w:t>
            </w:r>
          </w:p>
        </w:tc>
        <w:tc>
          <w:tcPr>
            <w:tcW w:w="1336" w:type="dxa"/>
            <w:tcBorders>
              <w:top w:val="nil"/>
              <w:left w:val="nil"/>
              <w:bottom w:val="single" w:color="auto" w:sz="4" w:space="0"/>
              <w:right w:val="single" w:color="auto" w:sz="4" w:space="0"/>
            </w:tcBorders>
            <w:shd w:val="clear" w:color="auto" w:fill="auto"/>
            <w:vAlign w:val="bottom"/>
          </w:tcPr>
          <w:p w14:paraId="572660D0">
            <w:pPr>
              <w:jc w:val="center"/>
              <w:textAlignment w:val="bottom"/>
              <w:rPr>
                <w:color w:val="000000"/>
                <w:sz w:val="20"/>
                <w:szCs w:val="20"/>
              </w:rPr>
            </w:pPr>
            <w:r>
              <w:rPr>
                <w:rFonts w:eastAsia="SimSun"/>
                <w:color w:val="000000"/>
                <w:sz w:val="20"/>
                <w:szCs w:val="20"/>
                <w:lang w:val="en-US" w:eastAsia="zh-CN" w:bidi="ar"/>
              </w:rPr>
              <w:t>110,52</w:t>
            </w:r>
          </w:p>
        </w:tc>
      </w:tr>
      <w:tr w14:paraId="2FBB6AC8">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2AD423E9">
            <w:pPr>
              <w:textAlignment w:val="center"/>
              <w:rPr>
                <w:color w:val="000000"/>
                <w:sz w:val="20"/>
                <w:szCs w:val="20"/>
              </w:rPr>
            </w:pPr>
            <w:r>
              <w:rPr>
                <w:rFonts w:eastAsia="SimSun"/>
                <w:color w:val="000000"/>
                <w:sz w:val="20"/>
                <w:szCs w:val="20"/>
                <w:lang w:val="en-US" w:eastAsia="zh-CN" w:bidi="ar"/>
              </w:rPr>
              <w:t>Акцизы</w:t>
            </w:r>
          </w:p>
        </w:tc>
        <w:tc>
          <w:tcPr>
            <w:tcW w:w="1220" w:type="dxa"/>
            <w:tcBorders>
              <w:top w:val="nil"/>
              <w:left w:val="nil"/>
              <w:bottom w:val="single" w:color="auto" w:sz="4" w:space="0"/>
              <w:right w:val="single" w:color="auto" w:sz="4" w:space="0"/>
            </w:tcBorders>
            <w:shd w:val="clear" w:color="000000" w:fill="FFFFFF"/>
            <w:noWrap/>
            <w:vAlign w:val="bottom"/>
          </w:tcPr>
          <w:p w14:paraId="078A99BF">
            <w:pPr>
              <w:jc w:val="center"/>
              <w:textAlignment w:val="bottom"/>
              <w:rPr>
                <w:color w:val="000000"/>
                <w:sz w:val="20"/>
                <w:szCs w:val="20"/>
              </w:rPr>
            </w:pPr>
            <w:r>
              <w:rPr>
                <w:rFonts w:eastAsia="SimSun"/>
                <w:color w:val="000000"/>
                <w:sz w:val="20"/>
                <w:szCs w:val="20"/>
                <w:lang w:val="en-US" w:eastAsia="zh-CN" w:bidi="ar"/>
              </w:rPr>
              <w:t>10 591,82</w:t>
            </w:r>
          </w:p>
        </w:tc>
        <w:tc>
          <w:tcPr>
            <w:tcW w:w="1290" w:type="dxa"/>
            <w:tcBorders>
              <w:top w:val="nil"/>
              <w:left w:val="nil"/>
              <w:bottom w:val="single" w:color="auto" w:sz="4" w:space="0"/>
              <w:right w:val="single" w:color="auto" w:sz="4" w:space="0"/>
            </w:tcBorders>
            <w:shd w:val="clear" w:color="auto" w:fill="auto"/>
            <w:noWrap/>
            <w:vAlign w:val="bottom"/>
          </w:tcPr>
          <w:p w14:paraId="2207A1DE">
            <w:pPr>
              <w:jc w:val="center"/>
              <w:textAlignment w:val="bottom"/>
              <w:rPr>
                <w:color w:val="000000"/>
                <w:sz w:val="20"/>
                <w:szCs w:val="20"/>
              </w:rPr>
            </w:pPr>
            <w:r>
              <w:rPr>
                <w:rFonts w:eastAsia="SimSun"/>
                <w:color w:val="000000"/>
                <w:sz w:val="20"/>
                <w:szCs w:val="20"/>
                <w:lang w:val="en-US" w:eastAsia="zh-CN" w:bidi="ar"/>
              </w:rPr>
              <w:t xml:space="preserve">46 542,41 </w:t>
            </w:r>
          </w:p>
        </w:tc>
        <w:tc>
          <w:tcPr>
            <w:tcW w:w="1720" w:type="dxa"/>
            <w:tcBorders>
              <w:top w:val="nil"/>
              <w:left w:val="nil"/>
              <w:bottom w:val="single" w:color="auto" w:sz="4" w:space="0"/>
              <w:right w:val="single" w:color="auto" w:sz="4" w:space="0"/>
            </w:tcBorders>
            <w:shd w:val="clear" w:color="000000" w:fill="FFFFFF"/>
            <w:noWrap/>
            <w:vAlign w:val="bottom"/>
          </w:tcPr>
          <w:p w14:paraId="4AD24025">
            <w:pPr>
              <w:jc w:val="center"/>
              <w:textAlignment w:val="bottom"/>
              <w:rPr>
                <w:color w:val="000000"/>
                <w:sz w:val="20"/>
                <w:szCs w:val="20"/>
              </w:rPr>
            </w:pPr>
            <w:r>
              <w:rPr>
                <w:rFonts w:eastAsia="SimSun"/>
                <w:color w:val="000000"/>
                <w:sz w:val="20"/>
                <w:szCs w:val="20"/>
                <w:lang w:val="en-US" w:eastAsia="zh-CN" w:bidi="ar"/>
              </w:rPr>
              <w:t>11 182,50</w:t>
            </w:r>
          </w:p>
        </w:tc>
        <w:tc>
          <w:tcPr>
            <w:tcW w:w="1245" w:type="dxa"/>
            <w:tcBorders>
              <w:top w:val="nil"/>
              <w:left w:val="nil"/>
              <w:bottom w:val="single" w:color="auto" w:sz="4" w:space="0"/>
              <w:right w:val="single" w:color="auto" w:sz="4" w:space="0"/>
            </w:tcBorders>
            <w:shd w:val="clear" w:color="auto" w:fill="auto"/>
            <w:vAlign w:val="bottom"/>
          </w:tcPr>
          <w:p w14:paraId="005E921A">
            <w:pPr>
              <w:jc w:val="center"/>
              <w:textAlignment w:val="bottom"/>
              <w:rPr>
                <w:color w:val="000000"/>
                <w:sz w:val="20"/>
                <w:szCs w:val="20"/>
              </w:rPr>
            </w:pPr>
            <w:r>
              <w:rPr>
                <w:rFonts w:eastAsia="SimSun"/>
                <w:color w:val="000000"/>
                <w:sz w:val="20"/>
                <w:szCs w:val="20"/>
                <w:lang w:val="en-US" w:eastAsia="zh-CN" w:bidi="ar"/>
              </w:rPr>
              <w:t>24,03</w:t>
            </w:r>
          </w:p>
        </w:tc>
        <w:tc>
          <w:tcPr>
            <w:tcW w:w="1336" w:type="dxa"/>
            <w:tcBorders>
              <w:top w:val="nil"/>
              <w:left w:val="nil"/>
              <w:bottom w:val="single" w:color="auto" w:sz="4" w:space="0"/>
              <w:right w:val="single" w:color="auto" w:sz="4" w:space="0"/>
            </w:tcBorders>
            <w:shd w:val="clear" w:color="auto" w:fill="auto"/>
            <w:vAlign w:val="bottom"/>
          </w:tcPr>
          <w:p w14:paraId="480D8F69">
            <w:pPr>
              <w:jc w:val="center"/>
              <w:textAlignment w:val="bottom"/>
              <w:rPr>
                <w:color w:val="000000"/>
                <w:sz w:val="20"/>
                <w:szCs w:val="20"/>
              </w:rPr>
            </w:pPr>
            <w:r>
              <w:rPr>
                <w:rFonts w:eastAsia="SimSun"/>
                <w:color w:val="000000"/>
                <w:sz w:val="20"/>
                <w:szCs w:val="20"/>
                <w:lang w:val="en-US" w:eastAsia="zh-CN" w:bidi="ar"/>
              </w:rPr>
              <w:t>105,58</w:t>
            </w:r>
          </w:p>
        </w:tc>
      </w:tr>
      <w:tr w14:paraId="4E11A006">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53461326">
            <w:pPr>
              <w:jc w:val="both"/>
              <w:textAlignment w:val="center"/>
              <w:rPr>
                <w:color w:val="000000"/>
                <w:sz w:val="20"/>
                <w:szCs w:val="20"/>
              </w:rPr>
            </w:pPr>
            <w:r>
              <w:rPr>
                <w:rFonts w:eastAsia="SimSun"/>
                <w:color w:val="000000"/>
                <w:sz w:val="20"/>
                <w:szCs w:val="20"/>
                <w:lang w:val="en-US" w:eastAsia="zh-CN" w:bidi="ar"/>
              </w:rPr>
              <w:t>Налоги на совокупный доход</w:t>
            </w:r>
          </w:p>
        </w:tc>
        <w:tc>
          <w:tcPr>
            <w:tcW w:w="1220" w:type="dxa"/>
            <w:tcBorders>
              <w:top w:val="nil"/>
              <w:left w:val="nil"/>
              <w:bottom w:val="single" w:color="auto" w:sz="4" w:space="0"/>
              <w:right w:val="single" w:color="auto" w:sz="4" w:space="0"/>
            </w:tcBorders>
            <w:shd w:val="clear" w:color="000000" w:fill="FFFFFF"/>
            <w:noWrap/>
            <w:vAlign w:val="bottom"/>
          </w:tcPr>
          <w:p w14:paraId="4144D516">
            <w:pPr>
              <w:jc w:val="center"/>
              <w:textAlignment w:val="bottom"/>
              <w:rPr>
                <w:color w:val="000000"/>
                <w:sz w:val="20"/>
                <w:szCs w:val="20"/>
              </w:rPr>
            </w:pPr>
            <w:r>
              <w:rPr>
                <w:rFonts w:eastAsia="SimSun"/>
                <w:color w:val="000000"/>
                <w:sz w:val="20"/>
                <w:szCs w:val="20"/>
                <w:lang w:val="en-US" w:eastAsia="zh-CN" w:bidi="ar"/>
              </w:rPr>
              <w:t>17 567,42</w:t>
            </w:r>
          </w:p>
        </w:tc>
        <w:tc>
          <w:tcPr>
            <w:tcW w:w="1290" w:type="dxa"/>
            <w:tcBorders>
              <w:top w:val="nil"/>
              <w:left w:val="nil"/>
              <w:bottom w:val="single" w:color="auto" w:sz="4" w:space="0"/>
              <w:right w:val="single" w:color="auto" w:sz="4" w:space="0"/>
            </w:tcBorders>
            <w:shd w:val="clear" w:color="auto" w:fill="auto"/>
            <w:noWrap/>
            <w:vAlign w:val="bottom"/>
          </w:tcPr>
          <w:p w14:paraId="0471F589">
            <w:pPr>
              <w:jc w:val="center"/>
              <w:textAlignment w:val="bottom"/>
              <w:rPr>
                <w:color w:val="000000"/>
                <w:sz w:val="20"/>
                <w:szCs w:val="20"/>
              </w:rPr>
            </w:pPr>
            <w:r>
              <w:rPr>
                <w:rFonts w:eastAsia="SimSun"/>
                <w:color w:val="000000"/>
                <w:sz w:val="20"/>
                <w:szCs w:val="20"/>
                <w:lang w:val="en-US" w:eastAsia="zh-CN" w:bidi="ar"/>
              </w:rPr>
              <w:t xml:space="preserve">82 563,00 </w:t>
            </w:r>
          </w:p>
        </w:tc>
        <w:tc>
          <w:tcPr>
            <w:tcW w:w="1720" w:type="dxa"/>
            <w:tcBorders>
              <w:top w:val="nil"/>
              <w:left w:val="nil"/>
              <w:bottom w:val="single" w:color="auto" w:sz="4" w:space="0"/>
              <w:right w:val="single" w:color="auto" w:sz="4" w:space="0"/>
            </w:tcBorders>
            <w:shd w:val="clear" w:color="000000" w:fill="FFFFFF"/>
            <w:noWrap/>
            <w:vAlign w:val="bottom"/>
          </w:tcPr>
          <w:p w14:paraId="5419637F">
            <w:pPr>
              <w:jc w:val="center"/>
              <w:textAlignment w:val="bottom"/>
              <w:rPr>
                <w:color w:val="000000"/>
                <w:sz w:val="20"/>
                <w:szCs w:val="20"/>
              </w:rPr>
            </w:pPr>
            <w:r>
              <w:rPr>
                <w:rFonts w:eastAsia="SimSun"/>
                <w:color w:val="000000"/>
                <w:sz w:val="20"/>
                <w:szCs w:val="20"/>
                <w:lang w:val="en-US" w:eastAsia="zh-CN" w:bidi="ar"/>
              </w:rPr>
              <w:t>16 878,28</w:t>
            </w:r>
          </w:p>
        </w:tc>
        <w:tc>
          <w:tcPr>
            <w:tcW w:w="1245" w:type="dxa"/>
            <w:tcBorders>
              <w:top w:val="nil"/>
              <w:left w:val="nil"/>
              <w:bottom w:val="single" w:color="auto" w:sz="4" w:space="0"/>
              <w:right w:val="single" w:color="auto" w:sz="4" w:space="0"/>
            </w:tcBorders>
            <w:shd w:val="clear" w:color="auto" w:fill="auto"/>
            <w:vAlign w:val="bottom"/>
          </w:tcPr>
          <w:p w14:paraId="49C28161">
            <w:pPr>
              <w:jc w:val="center"/>
              <w:textAlignment w:val="bottom"/>
              <w:rPr>
                <w:color w:val="000000"/>
                <w:sz w:val="20"/>
                <w:szCs w:val="20"/>
              </w:rPr>
            </w:pPr>
            <w:r>
              <w:rPr>
                <w:rFonts w:eastAsia="SimSun"/>
                <w:color w:val="000000"/>
                <w:sz w:val="20"/>
                <w:szCs w:val="20"/>
                <w:lang w:val="en-US" w:eastAsia="zh-CN" w:bidi="ar"/>
              </w:rPr>
              <w:t>20,44</w:t>
            </w:r>
          </w:p>
        </w:tc>
        <w:tc>
          <w:tcPr>
            <w:tcW w:w="1336" w:type="dxa"/>
            <w:tcBorders>
              <w:top w:val="nil"/>
              <w:left w:val="nil"/>
              <w:bottom w:val="single" w:color="auto" w:sz="4" w:space="0"/>
              <w:right w:val="single" w:color="auto" w:sz="4" w:space="0"/>
            </w:tcBorders>
            <w:shd w:val="clear" w:color="auto" w:fill="auto"/>
            <w:vAlign w:val="bottom"/>
          </w:tcPr>
          <w:p w14:paraId="5CDF543D">
            <w:pPr>
              <w:jc w:val="center"/>
              <w:textAlignment w:val="bottom"/>
              <w:rPr>
                <w:color w:val="000000"/>
                <w:sz w:val="20"/>
                <w:szCs w:val="20"/>
              </w:rPr>
            </w:pPr>
            <w:r>
              <w:rPr>
                <w:rFonts w:eastAsia="SimSun"/>
                <w:color w:val="000000"/>
                <w:sz w:val="20"/>
                <w:szCs w:val="20"/>
                <w:lang w:val="en-US" w:eastAsia="zh-CN" w:bidi="ar"/>
              </w:rPr>
              <w:t>96,08</w:t>
            </w:r>
          </w:p>
        </w:tc>
      </w:tr>
      <w:tr w14:paraId="7ADECAF9">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7E093845">
            <w:pPr>
              <w:jc w:val="both"/>
              <w:textAlignment w:val="center"/>
              <w:rPr>
                <w:color w:val="000000"/>
                <w:sz w:val="20"/>
                <w:szCs w:val="20"/>
              </w:rPr>
            </w:pPr>
            <w:r>
              <w:rPr>
                <w:rFonts w:eastAsia="SimSun"/>
                <w:color w:val="000000"/>
                <w:sz w:val="20"/>
                <w:szCs w:val="20"/>
                <w:lang w:val="en-US" w:eastAsia="zh-CN" w:bidi="ar"/>
              </w:rPr>
              <w:t>Госпошлина</w:t>
            </w:r>
          </w:p>
        </w:tc>
        <w:tc>
          <w:tcPr>
            <w:tcW w:w="1220" w:type="dxa"/>
            <w:tcBorders>
              <w:top w:val="nil"/>
              <w:left w:val="nil"/>
              <w:bottom w:val="single" w:color="auto" w:sz="4" w:space="0"/>
              <w:right w:val="single" w:color="auto" w:sz="4" w:space="0"/>
            </w:tcBorders>
            <w:shd w:val="clear" w:color="000000" w:fill="FFFFFF"/>
            <w:noWrap/>
            <w:vAlign w:val="bottom"/>
          </w:tcPr>
          <w:p w14:paraId="1210293B">
            <w:pPr>
              <w:jc w:val="center"/>
              <w:textAlignment w:val="bottom"/>
              <w:rPr>
                <w:color w:val="000000"/>
                <w:sz w:val="20"/>
                <w:szCs w:val="20"/>
              </w:rPr>
            </w:pPr>
            <w:r>
              <w:rPr>
                <w:rFonts w:eastAsia="SimSun"/>
                <w:color w:val="000000"/>
                <w:sz w:val="20"/>
                <w:szCs w:val="20"/>
                <w:lang w:val="en-US" w:eastAsia="zh-CN" w:bidi="ar"/>
              </w:rPr>
              <w:t>2 215,76</w:t>
            </w:r>
          </w:p>
        </w:tc>
        <w:tc>
          <w:tcPr>
            <w:tcW w:w="1290" w:type="dxa"/>
            <w:tcBorders>
              <w:top w:val="nil"/>
              <w:left w:val="nil"/>
              <w:bottom w:val="single" w:color="auto" w:sz="4" w:space="0"/>
              <w:right w:val="single" w:color="auto" w:sz="4" w:space="0"/>
            </w:tcBorders>
            <w:shd w:val="clear" w:color="auto" w:fill="auto"/>
            <w:noWrap/>
            <w:vAlign w:val="bottom"/>
          </w:tcPr>
          <w:p w14:paraId="694D3E72">
            <w:pPr>
              <w:jc w:val="center"/>
              <w:textAlignment w:val="bottom"/>
              <w:rPr>
                <w:color w:val="000000"/>
                <w:sz w:val="20"/>
                <w:szCs w:val="20"/>
              </w:rPr>
            </w:pPr>
            <w:r>
              <w:rPr>
                <w:rFonts w:eastAsia="SimSun"/>
                <w:color w:val="000000"/>
                <w:sz w:val="20"/>
                <w:szCs w:val="20"/>
                <w:lang w:val="en-US" w:eastAsia="zh-CN" w:bidi="ar"/>
              </w:rPr>
              <w:t xml:space="preserve">17 276,00 </w:t>
            </w:r>
          </w:p>
        </w:tc>
        <w:tc>
          <w:tcPr>
            <w:tcW w:w="1720" w:type="dxa"/>
            <w:tcBorders>
              <w:top w:val="nil"/>
              <w:left w:val="nil"/>
              <w:bottom w:val="single" w:color="auto" w:sz="4" w:space="0"/>
              <w:right w:val="single" w:color="auto" w:sz="4" w:space="0"/>
            </w:tcBorders>
            <w:shd w:val="clear" w:color="000000" w:fill="FFFFFF"/>
            <w:noWrap/>
            <w:vAlign w:val="bottom"/>
          </w:tcPr>
          <w:p w14:paraId="3135E2AB">
            <w:pPr>
              <w:jc w:val="center"/>
              <w:textAlignment w:val="bottom"/>
              <w:rPr>
                <w:color w:val="000000"/>
                <w:sz w:val="20"/>
                <w:szCs w:val="20"/>
              </w:rPr>
            </w:pPr>
            <w:r>
              <w:rPr>
                <w:rFonts w:eastAsia="SimSun"/>
                <w:color w:val="000000"/>
                <w:sz w:val="20"/>
                <w:szCs w:val="20"/>
                <w:lang w:val="en-US" w:eastAsia="zh-CN" w:bidi="ar"/>
              </w:rPr>
              <w:t>7 564,00</w:t>
            </w:r>
          </w:p>
        </w:tc>
        <w:tc>
          <w:tcPr>
            <w:tcW w:w="1245" w:type="dxa"/>
            <w:tcBorders>
              <w:top w:val="nil"/>
              <w:left w:val="nil"/>
              <w:bottom w:val="single" w:color="auto" w:sz="4" w:space="0"/>
              <w:right w:val="single" w:color="auto" w:sz="4" w:space="0"/>
            </w:tcBorders>
            <w:shd w:val="clear" w:color="auto" w:fill="auto"/>
            <w:vAlign w:val="bottom"/>
          </w:tcPr>
          <w:p w14:paraId="670343F6">
            <w:pPr>
              <w:jc w:val="center"/>
              <w:textAlignment w:val="bottom"/>
              <w:rPr>
                <w:color w:val="000000"/>
                <w:sz w:val="20"/>
                <w:szCs w:val="20"/>
              </w:rPr>
            </w:pPr>
            <w:r>
              <w:rPr>
                <w:rFonts w:eastAsia="SimSun"/>
                <w:color w:val="000000"/>
                <w:sz w:val="20"/>
                <w:szCs w:val="20"/>
                <w:lang w:val="en-US" w:eastAsia="zh-CN" w:bidi="ar"/>
              </w:rPr>
              <w:t>43,78</w:t>
            </w:r>
          </w:p>
        </w:tc>
        <w:tc>
          <w:tcPr>
            <w:tcW w:w="1336" w:type="dxa"/>
            <w:tcBorders>
              <w:top w:val="nil"/>
              <w:left w:val="nil"/>
              <w:bottom w:val="single" w:color="auto" w:sz="4" w:space="0"/>
              <w:right w:val="single" w:color="auto" w:sz="4" w:space="0"/>
            </w:tcBorders>
            <w:shd w:val="clear" w:color="auto" w:fill="auto"/>
            <w:vAlign w:val="bottom"/>
          </w:tcPr>
          <w:p w14:paraId="7C4F3C0E">
            <w:pPr>
              <w:jc w:val="center"/>
              <w:textAlignment w:val="bottom"/>
              <w:rPr>
                <w:color w:val="000000"/>
                <w:sz w:val="20"/>
                <w:szCs w:val="20"/>
              </w:rPr>
            </w:pPr>
            <w:r>
              <w:rPr>
                <w:rFonts w:eastAsia="SimSun"/>
                <w:color w:val="000000"/>
                <w:sz w:val="20"/>
                <w:szCs w:val="20"/>
                <w:lang w:val="en-US" w:eastAsia="zh-CN" w:bidi="ar"/>
              </w:rPr>
              <w:t>341,37</w:t>
            </w:r>
          </w:p>
        </w:tc>
      </w:tr>
      <w:tr w14:paraId="017ABBFD">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6D17288B">
            <w:pPr>
              <w:jc w:val="both"/>
              <w:textAlignment w:val="center"/>
              <w:rPr>
                <w:color w:val="000000"/>
                <w:sz w:val="20"/>
                <w:szCs w:val="20"/>
              </w:rPr>
            </w:pPr>
            <w:r>
              <w:rPr>
                <w:rFonts w:eastAsia="SimSun"/>
                <w:color w:val="000000"/>
                <w:sz w:val="20"/>
                <w:szCs w:val="20"/>
                <w:lang w:eastAsia="zh-CN" w:bidi="ar"/>
              </w:rPr>
              <w:t>Задолженность и перерасчеты по отмененным налогам</w:t>
            </w:r>
          </w:p>
        </w:tc>
        <w:tc>
          <w:tcPr>
            <w:tcW w:w="1220" w:type="dxa"/>
            <w:tcBorders>
              <w:top w:val="nil"/>
              <w:left w:val="nil"/>
              <w:bottom w:val="single" w:color="auto" w:sz="4" w:space="0"/>
              <w:right w:val="single" w:color="auto" w:sz="4" w:space="0"/>
            </w:tcBorders>
            <w:shd w:val="clear" w:color="000000" w:fill="FFFFFF"/>
            <w:noWrap/>
            <w:vAlign w:val="bottom"/>
          </w:tcPr>
          <w:p w14:paraId="5F2A1E00">
            <w:pPr>
              <w:jc w:val="center"/>
              <w:textAlignment w:val="bottom"/>
              <w:rPr>
                <w:color w:val="000000"/>
                <w:sz w:val="20"/>
                <w:szCs w:val="20"/>
              </w:rPr>
            </w:pPr>
            <w:r>
              <w:rPr>
                <w:rFonts w:eastAsia="SimSun"/>
                <w:color w:val="000000"/>
                <w:sz w:val="20"/>
                <w:szCs w:val="20"/>
                <w:lang w:val="en-US" w:eastAsia="zh-CN" w:bidi="ar"/>
              </w:rPr>
              <w:t>- 8,87</w:t>
            </w:r>
          </w:p>
        </w:tc>
        <w:tc>
          <w:tcPr>
            <w:tcW w:w="1290" w:type="dxa"/>
            <w:tcBorders>
              <w:top w:val="nil"/>
              <w:left w:val="nil"/>
              <w:bottom w:val="single" w:color="auto" w:sz="4" w:space="0"/>
              <w:right w:val="single" w:color="auto" w:sz="4" w:space="0"/>
            </w:tcBorders>
            <w:shd w:val="clear" w:color="auto" w:fill="auto"/>
            <w:noWrap/>
            <w:vAlign w:val="bottom"/>
          </w:tcPr>
          <w:p w14:paraId="68514BD8">
            <w:pPr>
              <w:jc w:val="center"/>
              <w:textAlignment w:val="bottom"/>
              <w:rPr>
                <w:color w:val="000000"/>
                <w:sz w:val="20"/>
                <w:szCs w:val="20"/>
              </w:rPr>
            </w:pPr>
            <w:r>
              <w:rPr>
                <w:rFonts w:eastAsia="SimSun"/>
                <w:color w:val="000000"/>
                <w:sz w:val="20"/>
                <w:szCs w:val="20"/>
                <w:lang w:val="en-US" w:eastAsia="zh-CN" w:bidi="ar"/>
              </w:rPr>
              <w:t xml:space="preserve"> 0,00 </w:t>
            </w:r>
          </w:p>
        </w:tc>
        <w:tc>
          <w:tcPr>
            <w:tcW w:w="1720" w:type="dxa"/>
            <w:tcBorders>
              <w:top w:val="nil"/>
              <w:left w:val="nil"/>
              <w:bottom w:val="single" w:color="auto" w:sz="4" w:space="0"/>
              <w:right w:val="single" w:color="auto" w:sz="4" w:space="0"/>
            </w:tcBorders>
            <w:shd w:val="clear" w:color="000000" w:fill="FFFFFF"/>
            <w:noWrap/>
            <w:vAlign w:val="bottom"/>
          </w:tcPr>
          <w:p w14:paraId="5DD90EAE">
            <w:pPr>
              <w:jc w:val="center"/>
              <w:textAlignment w:val="bottom"/>
              <w:rPr>
                <w:color w:val="000000"/>
                <w:sz w:val="20"/>
                <w:szCs w:val="20"/>
              </w:rPr>
            </w:pPr>
            <w:r>
              <w:rPr>
                <w:rFonts w:eastAsia="SimSun"/>
                <w:color w:val="000000"/>
                <w:sz w:val="20"/>
                <w:szCs w:val="20"/>
                <w:lang w:val="en-US" w:eastAsia="zh-CN" w:bidi="ar"/>
              </w:rPr>
              <w:t xml:space="preserve"> 0,00</w:t>
            </w:r>
          </w:p>
        </w:tc>
        <w:tc>
          <w:tcPr>
            <w:tcW w:w="1245" w:type="dxa"/>
            <w:tcBorders>
              <w:top w:val="nil"/>
              <w:left w:val="nil"/>
              <w:bottom w:val="single" w:color="auto" w:sz="4" w:space="0"/>
              <w:right w:val="single" w:color="auto" w:sz="4" w:space="0"/>
            </w:tcBorders>
            <w:shd w:val="clear" w:color="auto" w:fill="auto"/>
            <w:vAlign w:val="bottom"/>
          </w:tcPr>
          <w:p w14:paraId="60A99DFA">
            <w:pPr>
              <w:jc w:val="center"/>
              <w:textAlignment w:val="bottom"/>
              <w:rPr>
                <w:color w:val="000000"/>
                <w:sz w:val="20"/>
                <w:szCs w:val="20"/>
              </w:rPr>
            </w:pPr>
            <w:r>
              <w:rPr>
                <w:rFonts w:eastAsia="SimSun"/>
                <w:color w:val="000000"/>
                <w:sz w:val="20"/>
                <w:szCs w:val="20"/>
                <w:lang w:val="en-US" w:eastAsia="zh-CN" w:bidi="ar"/>
              </w:rPr>
              <w:t>х</w:t>
            </w:r>
          </w:p>
        </w:tc>
        <w:tc>
          <w:tcPr>
            <w:tcW w:w="1336" w:type="dxa"/>
            <w:tcBorders>
              <w:top w:val="nil"/>
              <w:left w:val="nil"/>
              <w:bottom w:val="single" w:color="auto" w:sz="4" w:space="0"/>
              <w:right w:val="single" w:color="auto" w:sz="4" w:space="0"/>
            </w:tcBorders>
            <w:shd w:val="clear" w:color="auto" w:fill="auto"/>
            <w:vAlign w:val="bottom"/>
          </w:tcPr>
          <w:p w14:paraId="03C8A7F4">
            <w:pPr>
              <w:jc w:val="center"/>
              <w:textAlignment w:val="bottom"/>
              <w:rPr>
                <w:color w:val="000000"/>
                <w:sz w:val="20"/>
                <w:szCs w:val="20"/>
              </w:rPr>
            </w:pPr>
            <w:r>
              <w:rPr>
                <w:rFonts w:eastAsia="SimSun"/>
                <w:color w:val="000000"/>
                <w:sz w:val="20"/>
                <w:szCs w:val="20"/>
                <w:lang w:eastAsia="zh-CN" w:bidi="ar"/>
              </w:rPr>
              <w:t>х</w:t>
            </w:r>
          </w:p>
        </w:tc>
      </w:tr>
      <w:tr w14:paraId="26DF56D0">
        <w:tblPrEx>
          <w:tblCellMar>
            <w:top w:w="0" w:type="dxa"/>
            <w:left w:w="108" w:type="dxa"/>
            <w:bottom w:w="0" w:type="dxa"/>
            <w:right w:w="108" w:type="dxa"/>
          </w:tblCellMar>
        </w:tblPrEx>
        <w:trPr>
          <w:trHeight w:val="27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16F44827">
            <w:pPr>
              <w:textAlignment w:val="center"/>
              <w:rPr>
                <w:b/>
                <w:bCs/>
                <w:color w:val="000000"/>
                <w:sz w:val="20"/>
                <w:szCs w:val="20"/>
              </w:rPr>
            </w:pPr>
            <w:r>
              <w:rPr>
                <w:rFonts w:eastAsia="SimSun"/>
                <w:b/>
                <w:bCs/>
                <w:color w:val="000000"/>
                <w:sz w:val="20"/>
                <w:szCs w:val="20"/>
                <w:lang w:eastAsia="zh-CN" w:bidi="ar"/>
              </w:rPr>
              <w:t>Неналоговые доходы, в том числе:</w:t>
            </w:r>
          </w:p>
        </w:tc>
        <w:tc>
          <w:tcPr>
            <w:tcW w:w="1220" w:type="dxa"/>
            <w:tcBorders>
              <w:top w:val="nil"/>
              <w:left w:val="nil"/>
              <w:bottom w:val="single" w:color="auto" w:sz="4" w:space="0"/>
              <w:right w:val="single" w:color="auto" w:sz="4" w:space="0"/>
            </w:tcBorders>
            <w:shd w:val="clear" w:color="000000" w:fill="FFFFFF"/>
            <w:vAlign w:val="bottom"/>
          </w:tcPr>
          <w:p w14:paraId="52224E18">
            <w:pPr>
              <w:jc w:val="center"/>
              <w:textAlignment w:val="bottom"/>
              <w:rPr>
                <w:color w:val="000000"/>
                <w:sz w:val="20"/>
                <w:szCs w:val="20"/>
              </w:rPr>
            </w:pPr>
            <w:r>
              <w:rPr>
                <w:rFonts w:eastAsia="SimSun"/>
                <w:b/>
                <w:bCs/>
                <w:color w:val="000000"/>
                <w:sz w:val="20"/>
                <w:szCs w:val="20"/>
                <w:lang w:val="en-US" w:eastAsia="zh-CN" w:bidi="ar"/>
              </w:rPr>
              <w:t>21 788,31</w:t>
            </w:r>
          </w:p>
        </w:tc>
        <w:tc>
          <w:tcPr>
            <w:tcW w:w="1290" w:type="dxa"/>
            <w:tcBorders>
              <w:top w:val="nil"/>
              <w:left w:val="nil"/>
              <w:bottom w:val="single" w:color="auto" w:sz="4" w:space="0"/>
              <w:right w:val="single" w:color="auto" w:sz="4" w:space="0"/>
            </w:tcBorders>
            <w:shd w:val="clear" w:color="000000" w:fill="FFFFFF"/>
            <w:vAlign w:val="bottom"/>
          </w:tcPr>
          <w:p w14:paraId="4594D11F">
            <w:pPr>
              <w:jc w:val="center"/>
              <w:textAlignment w:val="bottom"/>
              <w:rPr>
                <w:color w:val="000000"/>
                <w:sz w:val="20"/>
                <w:szCs w:val="20"/>
              </w:rPr>
            </w:pPr>
            <w:r>
              <w:rPr>
                <w:rFonts w:eastAsia="SimSun"/>
                <w:b/>
                <w:bCs/>
                <w:color w:val="000000"/>
                <w:sz w:val="20"/>
                <w:szCs w:val="20"/>
                <w:lang w:val="en-US" w:eastAsia="zh-CN" w:bidi="ar"/>
              </w:rPr>
              <w:t>107 183,24</w:t>
            </w:r>
          </w:p>
        </w:tc>
        <w:tc>
          <w:tcPr>
            <w:tcW w:w="1720" w:type="dxa"/>
            <w:tcBorders>
              <w:top w:val="nil"/>
              <w:left w:val="nil"/>
              <w:bottom w:val="single" w:color="auto" w:sz="4" w:space="0"/>
              <w:right w:val="single" w:color="auto" w:sz="4" w:space="0"/>
            </w:tcBorders>
            <w:shd w:val="clear" w:color="000000" w:fill="FFFFFF"/>
            <w:vAlign w:val="bottom"/>
          </w:tcPr>
          <w:p w14:paraId="299A81B9">
            <w:pPr>
              <w:jc w:val="center"/>
              <w:textAlignment w:val="bottom"/>
              <w:rPr>
                <w:color w:val="000000"/>
                <w:sz w:val="20"/>
                <w:szCs w:val="20"/>
              </w:rPr>
            </w:pPr>
            <w:r>
              <w:rPr>
                <w:rFonts w:eastAsia="SimSun"/>
                <w:b/>
                <w:bCs/>
                <w:color w:val="000000"/>
                <w:sz w:val="20"/>
                <w:szCs w:val="20"/>
                <w:lang w:val="en-US" w:eastAsia="zh-CN" w:bidi="ar"/>
              </w:rPr>
              <w:t>28 531,02</w:t>
            </w:r>
          </w:p>
        </w:tc>
        <w:tc>
          <w:tcPr>
            <w:tcW w:w="1245" w:type="dxa"/>
            <w:tcBorders>
              <w:top w:val="nil"/>
              <w:left w:val="nil"/>
              <w:bottom w:val="single" w:color="auto" w:sz="4" w:space="0"/>
              <w:right w:val="single" w:color="auto" w:sz="4" w:space="0"/>
            </w:tcBorders>
            <w:shd w:val="clear" w:color="auto" w:fill="auto"/>
            <w:vAlign w:val="bottom"/>
          </w:tcPr>
          <w:p w14:paraId="220C8704">
            <w:pPr>
              <w:jc w:val="center"/>
              <w:textAlignment w:val="bottom"/>
              <w:rPr>
                <w:b/>
                <w:bCs/>
                <w:color w:val="000000"/>
                <w:sz w:val="20"/>
                <w:szCs w:val="20"/>
              </w:rPr>
            </w:pPr>
            <w:r>
              <w:rPr>
                <w:rFonts w:eastAsia="SimSun"/>
                <w:b/>
                <w:bCs/>
                <w:color w:val="000000"/>
                <w:sz w:val="20"/>
                <w:szCs w:val="20"/>
                <w:lang w:val="en-US" w:eastAsia="zh-CN" w:bidi="ar"/>
              </w:rPr>
              <w:t>26,62</w:t>
            </w:r>
          </w:p>
        </w:tc>
        <w:tc>
          <w:tcPr>
            <w:tcW w:w="1336" w:type="dxa"/>
            <w:tcBorders>
              <w:top w:val="nil"/>
              <w:left w:val="nil"/>
              <w:bottom w:val="single" w:color="auto" w:sz="4" w:space="0"/>
              <w:right w:val="single" w:color="auto" w:sz="4" w:space="0"/>
            </w:tcBorders>
            <w:shd w:val="clear" w:color="auto" w:fill="auto"/>
            <w:vAlign w:val="bottom"/>
          </w:tcPr>
          <w:p w14:paraId="453FF0A8">
            <w:pPr>
              <w:jc w:val="center"/>
              <w:textAlignment w:val="bottom"/>
              <w:rPr>
                <w:b/>
                <w:bCs/>
                <w:color w:val="000000"/>
                <w:sz w:val="20"/>
                <w:szCs w:val="20"/>
              </w:rPr>
            </w:pPr>
            <w:r>
              <w:rPr>
                <w:rFonts w:eastAsia="SimSun"/>
                <w:b/>
                <w:bCs/>
                <w:color w:val="000000"/>
                <w:sz w:val="20"/>
                <w:szCs w:val="20"/>
                <w:lang w:val="en-US" w:eastAsia="zh-CN" w:bidi="ar"/>
              </w:rPr>
              <w:t>130,95</w:t>
            </w:r>
          </w:p>
        </w:tc>
      </w:tr>
      <w:tr w14:paraId="0EF963A5">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33C3981D">
            <w:pPr>
              <w:textAlignment w:val="center"/>
              <w:rPr>
                <w:color w:val="000000"/>
                <w:sz w:val="20"/>
                <w:szCs w:val="20"/>
              </w:rPr>
            </w:pPr>
            <w:r>
              <w:rPr>
                <w:rFonts w:eastAsia="SimSun"/>
                <w:color w:val="000000"/>
                <w:sz w:val="20"/>
                <w:szCs w:val="20"/>
                <w:lang w:val="en-US" w:eastAsia="zh-CN" w:bidi="ar"/>
              </w:rPr>
              <w:t>Доходы от использования имущества</w:t>
            </w:r>
          </w:p>
        </w:tc>
        <w:tc>
          <w:tcPr>
            <w:tcW w:w="1220" w:type="dxa"/>
            <w:tcBorders>
              <w:top w:val="nil"/>
              <w:left w:val="nil"/>
              <w:bottom w:val="single" w:color="auto" w:sz="4" w:space="0"/>
              <w:right w:val="single" w:color="auto" w:sz="4" w:space="0"/>
            </w:tcBorders>
            <w:shd w:val="clear" w:color="000000" w:fill="FFFFFF"/>
            <w:vAlign w:val="bottom"/>
          </w:tcPr>
          <w:p w14:paraId="1D41131A">
            <w:pPr>
              <w:jc w:val="center"/>
              <w:textAlignment w:val="bottom"/>
              <w:rPr>
                <w:color w:val="000000"/>
                <w:sz w:val="20"/>
                <w:szCs w:val="20"/>
              </w:rPr>
            </w:pPr>
            <w:r>
              <w:rPr>
                <w:rFonts w:eastAsia="SimSun"/>
                <w:color w:val="000000"/>
                <w:sz w:val="20"/>
                <w:szCs w:val="20"/>
                <w:lang w:val="en-US" w:eastAsia="zh-CN" w:bidi="ar"/>
              </w:rPr>
              <w:t>4 232,26</w:t>
            </w:r>
          </w:p>
        </w:tc>
        <w:tc>
          <w:tcPr>
            <w:tcW w:w="1290" w:type="dxa"/>
            <w:tcBorders>
              <w:top w:val="nil"/>
              <w:left w:val="nil"/>
              <w:bottom w:val="single" w:color="auto" w:sz="4" w:space="0"/>
              <w:right w:val="single" w:color="auto" w:sz="4" w:space="0"/>
            </w:tcBorders>
            <w:shd w:val="clear" w:color="000000" w:fill="FFFFFF"/>
            <w:vAlign w:val="bottom"/>
          </w:tcPr>
          <w:p w14:paraId="07240BC8">
            <w:pPr>
              <w:jc w:val="center"/>
              <w:textAlignment w:val="bottom"/>
              <w:rPr>
                <w:color w:val="000000"/>
                <w:sz w:val="20"/>
                <w:szCs w:val="20"/>
              </w:rPr>
            </w:pPr>
            <w:r>
              <w:rPr>
                <w:rFonts w:eastAsia="SimSun"/>
                <w:color w:val="000000"/>
                <w:sz w:val="20"/>
                <w:szCs w:val="20"/>
                <w:lang w:val="en-US" w:eastAsia="zh-CN" w:bidi="ar"/>
              </w:rPr>
              <w:t>28 532,25</w:t>
            </w:r>
          </w:p>
        </w:tc>
        <w:tc>
          <w:tcPr>
            <w:tcW w:w="1720" w:type="dxa"/>
            <w:tcBorders>
              <w:top w:val="nil"/>
              <w:left w:val="nil"/>
              <w:bottom w:val="single" w:color="auto" w:sz="4" w:space="0"/>
              <w:right w:val="single" w:color="auto" w:sz="4" w:space="0"/>
            </w:tcBorders>
            <w:shd w:val="clear" w:color="000000" w:fill="FFFFFF"/>
            <w:vAlign w:val="bottom"/>
          </w:tcPr>
          <w:p w14:paraId="3DC13C10">
            <w:pPr>
              <w:jc w:val="center"/>
              <w:textAlignment w:val="bottom"/>
              <w:rPr>
                <w:color w:val="000000"/>
                <w:sz w:val="20"/>
                <w:szCs w:val="20"/>
              </w:rPr>
            </w:pPr>
            <w:r>
              <w:rPr>
                <w:rFonts w:eastAsia="SimSun"/>
                <w:color w:val="000000"/>
                <w:sz w:val="20"/>
                <w:szCs w:val="20"/>
                <w:lang w:val="en-US" w:eastAsia="zh-CN" w:bidi="ar"/>
              </w:rPr>
              <w:t>9 443,11</w:t>
            </w:r>
          </w:p>
        </w:tc>
        <w:tc>
          <w:tcPr>
            <w:tcW w:w="1245" w:type="dxa"/>
            <w:tcBorders>
              <w:top w:val="nil"/>
              <w:left w:val="nil"/>
              <w:bottom w:val="single" w:color="auto" w:sz="4" w:space="0"/>
              <w:right w:val="single" w:color="auto" w:sz="4" w:space="0"/>
            </w:tcBorders>
            <w:shd w:val="clear" w:color="auto" w:fill="auto"/>
            <w:vAlign w:val="bottom"/>
          </w:tcPr>
          <w:p w14:paraId="1994AFCF">
            <w:pPr>
              <w:jc w:val="center"/>
              <w:textAlignment w:val="bottom"/>
              <w:rPr>
                <w:color w:val="000000"/>
                <w:sz w:val="20"/>
                <w:szCs w:val="20"/>
              </w:rPr>
            </w:pPr>
            <w:r>
              <w:rPr>
                <w:rFonts w:eastAsia="SimSun"/>
                <w:color w:val="000000"/>
                <w:sz w:val="20"/>
                <w:szCs w:val="20"/>
                <w:lang w:val="en-US" w:eastAsia="zh-CN" w:bidi="ar"/>
              </w:rPr>
              <w:t>33,10</w:t>
            </w:r>
          </w:p>
        </w:tc>
        <w:tc>
          <w:tcPr>
            <w:tcW w:w="1336" w:type="dxa"/>
            <w:tcBorders>
              <w:top w:val="nil"/>
              <w:left w:val="nil"/>
              <w:bottom w:val="single" w:color="auto" w:sz="4" w:space="0"/>
              <w:right w:val="single" w:color="auto" w:sz="4" w:space="0"/>
            </w:tcBorders>
            <w:shd w:val="clear" w:color="auto" w:fill="auto"/>
            <w:vAlign w:val="bottom"/>
          </w:tcPr>
          <w:p w14:paraId="0868BC13">
            <w:pPr>
              <w:jc w:val="center"/>
              <w:textAlignment w:val="bottom"/>
              <w:rPr>
                <w:color w:val="000000"/>
                <w:sz w:val="20"/>
                <w:szCs w:val="20"/>
              </w:rPr>
            </w:pPr>
            <w:r>
              <w:rPr>
                <w:rFonts w:eastAsia="SimSun"/>
                <w:color w:val="000000"/>
                <w:sz w:val="20"/>
                <w:szCs w:val="20"/>
                <w:lang w:val="en-US" w:eastAsia="zh-CN" w:bidi="ar"/>
              </w:rPr>
              <w:t>223,12</w:t>
            </w:r>
          </w:p>
        </w:tc>
      </w:tr>
      <w:tr w14:paraId="0BA19A4D">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29663361">
            <w:pPr>
              <w:textAlignment w:val="center"/>
              <w:rPr>
                <w:color w:val="000000"/>
                <w:sz w:val="20"/>
                <w:szCs w:val="20"/>
              </w:rPr>
            </w:pPr>
            <w:r>
              <w:rPr>
                <w:rFonts w:eastAsia="SimSun"/>
                <w:color w:val="000000"/>
                <w:sz w:val="20"/>
                <w:szCs w:val="20"/>
                <w:lang w:eastAsia="zh-CN" w:bidi="ar"/>
              </w:rPr>
              <w:t>Платежи при пользовании природными ресурсами</w:t>
            </w:r>
          </w:p>
        </w:tc>
        <w:tc>
          <w:tcPr>
            <w:tcW w:w="1220" w:type="dxa"/>
            <w:tcBorders>
              <w:top w:val="nil"/>
              <w:left w:val="nil"/>
              <w:bottom w:val="single" w:color="auto" w:sz="4" w:space="0"/>
              <w:right w:val="single" w:color="auto" w:sz="4" w:space="0"/>
            </w:tcBorders>
            <w:shd w:val="clear" w:color="000000" w:fill="FFFFFF"/>
            <w:vAlign w:val="bottom"/>
          </w:tcPr>
          <w:p w14:paraId="5576860E">
            <w:pPr>
              <w:jc w:val="center"/>
              <w:textAlignment w:val="bottom"/>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206,82</w:t>
            </w:r>
          </w:p>
        </w:tc>
        <w:tc>
          <w:tcPr>
            <w:tcW w:w="1290" w:type="dxa"/>
            <w:tcBorders>
              <w:top w:val="nil"/>
              <w:left w:val="nil"/>
              <w:bottom w:val="single" w:color="auto" w:sz="4" w:space="0"/>
              <w:right w:val="single" w:color="auto" w:sz="4" w:space="0"/>
            </w:tcBorders>
            <w:shd w:val="clear" w:color="auto" w:fill="auto"/>
            <w:noWrap/>
            <w:vAlign w:val="bottom"/>
          </w:tcPr>
          <w:p w14:paraId="1A0C8C08">
            <w:pPr>
              <w:jc w:val="center"/>
              <w:textAlignment w:val="bottom"/>
              <w:rPr>
                <w:color w:val="000000"/>
                <w:sz w:val="20"/>
                <w:szCs w:val="20"/>
              </w:rPr>
            </w:pPr>
            <w:r>
              <w:rPr>
                <w:rFonts w:eastAsia="SimSun"/>
                <w:color w:val="000000"/>
                <w:sz w:val="20"/>
                <w:szCs w:val="20"/>
                <w:lang w:val="en-US" w:eastAsia="zh-CN" w:bidi="ar"/>
              </w:rPr>
              <w:t xml:space="preserve"> 433,54</w:t>
            </w:r>
          </w:p>
        </w:tc>
        <w:tc>
          <w:tcPr>
            <w:tcW w:w="1720" w:type="dxa"/>
            <w:tcBorders>
              <w:top w:val="nil"/>
              <w:left w:val="nil"/>
              <w:bottom w:val="single" w:color="auto" w:sz="4" w:space="0"/>
              <w:right w:val="single" w:color="auto" w:sz="4" w:space="0"/>
            </w:tcBorders>
            <w:shd w:val="clear" w:color="000000" w:fill="FFFFFF"/>
            <w:vAlign w:val="bottom"/>
          </w:tcPr>
          <w:p w14:paraId="527F1DD7">
            <w:pPr>
              <w:jc w:val="center"/>
              <w:textAlignment w:val="bottom"/>
              <w:rPr>
                <w:color w:val="000000"/>
                <w:sz w:val="20"/>
                <w:szCs w:val="20"/>
              </w:rPr>
            </w:pPr>
            <w:r>
              <w:rPr>
                <w:rFonts w:eastAsia="SimSun"/>
                <w:color w:val="000000"/>
                <w:sz w:val="20"/>
                <w:szCs w:val="20"/>
                <w:lang w:val="en-US" w:eastAsia="zh-CN" w:bidi="ar"/>
              </w:rPr>
              <w:t xml:space="preserve"> 269,35</w:t>
            </w:r>
          </w:p>
        </w:tc>
        <w:tc>
          <w:tcPr>
            <w:tcW w:w="1245" w:type="dxa"/>
            <w:tcBorders>
              <w:top w:val="nil"/>
              <w:left w:val="nil"/>
              <w:bottom w:val="single" w:color="auto" w:sz="4" w:space="0"/>
              <w:right w:val="single" w:color="auto" w:sz="4" w:space="0"/>
            </w:tcBorders>
            <w:shd w:val="clear" w:color="auto" w:fill="auto"/>
            <w:vAlign w:val="bottom"/>
          </w:tcPr>
          <w:p w14:paraId="62E7C887">
            <w:pPr>
              <w:jc w:val="center"/>
              <w:textAlignment w:val="bottom"/>
              <w:rPr>
                <w:color w:val="000000"/>
                <w:sz w:val="20"/>
                <w:szCs w:val="20"/>
              </w:rPr>
            </w:pPr>
            <w:r>
              <w:rPr>
                <w:rFonts w:eastAsia="SimSun"/>
                <w:color w:val="000000"/>
                <w:sz w:val="20"/>
                <w:szCs w:val="20"/>
                <w:lang w:val="en-US" w:eastAsia="zh-CN" w:bidi="ar"/>
              </w:rPr>
              <w:t>62,13</w:t>
            </w:r>
          </w:p>
        </w:tc>
        <w:tc>
          <w:tcPr>
            <w:tcW w:w="1336" w:type="dxa"/>
            <w:tcBorders>
              <w:top w:val="nil"/>
              <w:left w:val="nil"/>
              <w:bottom w:val="single" w:color="auto" w:sz="4" w:space="0"/>
              <w:right w:val="single" w:color="auto" w:sz="4" w:space="0"/>
            </w:tcBorders>
            <w:shd w:val="clear" w:color="auto" w:fill="auto"/>
            <w:vAlign w:val="bottom"/>
          </w:tcPr>
          <w:p w14:paraId="77A67728">
            <w:pPr>
              <w:jc w:val="center"/>
              <w:textAlignment w:val="bottom"/>
              <w:rPr>
                <w:color w:val="000000"/>
                <w:sz w:val="20"/>
                <w:szCs w:val="20"/>
              </w:rPr>
            </w:pPr>
            <w:r>
              <w:rPr>
                <w:rFonts w:eastAsia="SimSun"/>
                <w:color w:val="000000"/>
                <w:sz w:val="20"/>
                <w:szCs w:val="20"/>
                <w:lang w:val="en-US" w:eastAsia="zh-CN" w:bidi="ar"/>
              </w:rPr>
              <w:t>130,23</w:t>
            </w:r>
          </w:p>
        </w:tc>
      </w:tr>
      <w:tr w14:paraId="1EF60AC2">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759D2915">
            <w:pPr>
              <w:textAlignment w:val="center"/>
              <w:rPr>
                <w:color w:val="000000"/>
                <w:sz w:val="20"/>
                <w:szCs w:val="20"/>
              </w:rPr>
            </w:pPr>
            <w:r>
              <w:rPr>
                <w:rFonts w:eastAsia="SimSun"/>
                <w:color w:val="000000"/>
                <w:sz w:val="20"/>
                <w:szCs w:val="20"/>
                <w:lang w:eastAsia="zh-CN" w:bidi="ar"/>
              </w:rPr>
              <w:t>Доходы от оказания платных услуг</w:t>
            </w:r>
          </w:p>
        </w:tc>
        <w:tc>
          <w:tcPr>
            <w:tcW w:w="1220" w:type="dxa"/>
            <w:tcBorders>
              <w:top w:val="nil"/>
              <w:left w:val="nil"/>
              <w:bottom w:val="single" w:color="auto" w:sz="4" w:space="0"/>
              <w:right w:val="single" w:color="auto" w:sz="4" w:space="0"/>
            </w:tcBorders>
            <w:shd w:val="clear" w:color="000000" w:fill="FFFFFF"/>
            <w:vAlign w:val="bottom"/>
          </w:tcPr>
          <w:p w14:paraId="6350C293">
            <w:pPr>
              <w:jc w:val="center"/>
              <w:textAlignment w:val="bottom"/>
              <w:rPr>
                <w:color w:val="000000"/>
                <w:sz w:val="20"/>
                <w:szCs w:val="20"/>
              </w:rPr>
            </w:pPr>
            <w:r>
              <w:rPr>
                <w:rFonts w:eastAsia="SimSun"/>
                <w:color w:val="000000"/>
                <w:sz w:val="20"/>
                <w:szCs w:val="20"/>
                <w:lang w:val="en-US" w:eastAsia="zh-CN" w:bidi="ar"/>
              </w:rPr>
              <w:t>14 614,94</w:t>
            </w:r>
          </w:p>
        </w:tc>
        <w:tc>
          <w:tcPr>
            <w:tcW w:w="1290" w:type="dxa"/>
            <w:tcBorders>
              <w:top w:val="nil"/>
              <w:left w:val="nil"/>
              <w:bottom w:val="single" w:color="auto" w:sz="4" w:space="0"/>
              <w:right w:val="single" w:color="auto" w:sz="4" w:space="0"/>
            </w:tcBorders>
            <w:shd w:val="clear" w:color="auto" w:fill="auto"/>
            <w:noWrap/>
            <w:vAlign w:val="bottom"/>
          </w:tcPr>
          <w:p w14:paraId="597A245D">
            <w:pPr>
              <w:jc w:val="center"/>
              <w:textAlignment w:val="bottom"/>
              <w:rPr>
                <w:color w:val="000000"/>
                <w:sz w:val="20"/>
                <w:szCs w:val="20"/>
              </w:rPr>
            </w:pPr>
            <w:r>
              <w:rPr>
                <w:rFonts w:eastAsia="SimSun"/>
                <w:color w:val="000000"/>
                <w:sz w:val="20"/>
                <w:szCs w:val="20"/>
                <w:lang w:val="en-US" w:eastAsia="zh-CN" w:bidi="ar"/>
              </w:rPr>
              <w:t>64 161,78</w:t>
            </w:r>
          </w:p>
        </w:tc>
        <w:tc>
          <w:tcPr>
            <w:tcW w:w="1720" w:type="dxa"/>
            <w:tcBorders>
              <w:top w:val="nil"/>
              <w:left w:val="nil"/>
              <w:bottom w:val="single" w:color="auto" w:sz="4" w:space="0"/>
              <w:right w:val="single" w:color="auto" w:sz="4" w:space="0"/>
            </w:tcBorders>
            <w:shd w:val="clear" w:color="000000" w:fill="FFFFFF"/>
            <w:vAlign w:val="bottom"/>
          </w:tcPr>
          <w:p w14:paraId="7531D245">
            <w:pPr>
              <w:jc w:val="center"/>
              <w:textAlignment w:val="bottom"/>
              <w:rPr>
                <w:color w:val="000000"/>
                <w:sz w:val="20"/>
                <w:szCs w:val="20"/>
              </w:rPr>
            </w:pPr>
            <w:r>
              <w:rPr>
                <w:rFonts w:eastAsia="SimSun"/>
                <w:color w:val="000000"/>
                <w:sz w:val="20"/>
                <w:szCs w:val="20"/>
                <w:lang w:val="en-US" w:eastAsia="zh-CN" w:bidi="ar"/>
              </w:rPr>
              <w:t>16 598,32</w:t>
            </w:r>
          </w:p>
        </w:tc>
        <w:tc>
          <w:tcPr>
            <w:tcW w:w="1245" w:type="dxa"/>
            <w:tcBorders>
              <w:top w:val="nil"/>
              <w:left w:val="nil"/>
              <w:bottom w:val="single" w:color="auto" w:sz="4" w:space="0"/>
              <w:right w:val="single" w:color="auto" w:sz="4" w:space="0"/>
            </w:tcBorders>
            <w:shd w:val="clear" w:color="auto" w:fill="auto"/>
            <w:vAlign w:val="bottom"/>
          </w:tcPr>
          <w:p w14:paraId="02A1DB77">
            <w:pPr>
              <w:jc w:val="center"/>
              <w:textAlignment w:val="bottom"/>
              <w:rPr>
                <w:color w:val="000000"/>
                <w:sz w:val="20"/>
                <w:szCs w:val="20"/>
              </w:rPr>
            </w:pPr>
            <w:r>
              <w:rPr>
                <w:rFonts w:eastAsia="SimSun"/>
                <w:color w:val="000000"/>
                <w:sz w:val="20"/>
                <w:szCs w:val="20"/>
                <w:lang w:val="en-US" w:eastAsia="zh-CN" w:bidi="ar"/>
              </w:rPr>
              <w:t>25,87</w:t>
            </w:r>
          </w:p>
        </w:tc>
        <w:tc>
          <w:tcPr>
            <w:tcW w:w="1336" w:type="dxa"/>
            <w:tcBorders>
              <w:top w:val="nil"/>
              <w:left w:val="nil"/>
              <w:bottom w:val="single" w:color="auto" w:sz="4" w:space="0"/>
              <w:right w:val="single" w:color="auto" w:sz="4" w:space="0"/>
            </w:tcBorders>
            <w:shd w:val="clear" w:color="auto" w:fill="auto"/>
            <w:vAlign w:val="bottom"/>
          </w:tcPr>
          <w:p w14:paraId="51DC950B">
            <w:pPr>
              <w:jc w:val="center"/>
              <w:textAlignment w:val="bottom"/>
              <w:rPr>
                <w:color w:val="000000"/>
                <w:sz w:val="20"/>
                <w:szCs w:val="20"/>
              </w:rPr>
            </w:pPr>
            <w:r>
              <w:rPr>
                <w:rFonts w:eastAsia="SimSun"/>
                <w:color w:val="000000"/>
                <w:sz w:val="20"/>
                <w:szCs w:val="20"/>
                <w:lang w:val="en-US" w:eastAsia="zh-CN" w:bidi="ar"/>
              </w:rPr>
              <w:t>113,57</w:t>
            </w:r>
          </w:p>
        </w:tc>
      </w:tr>
      <w:tr w14:paraId="2F6489E4">
        <w:tblPrEx>
          <w:tblCellMar>
            <w:top w:w="0" w:type="dxa"/>
            <w:left w:w="108" w:type="dxa"/>
            <w:bottom w:w="0" w:type="dxa"/>
            <w:right w:w="108" w:type="dxa"/>
          </w:tblCellMar>
        </w:tblPrEx>
        <w:trPr>
          <w:trHeight w:val="51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0338440B">
            <w:pPr>
              <w:textAlignment w:val="center"/>
              <w:rPr>
                <w:color w:val="000000"/>
                <w:sz w:val="20"/>
                <w:szCs w:val="20"/>
              </w:rPr>
            </w:pPr>
            <w:r>
              <w:rPr>
                <w:rFonts w:eastAsia="SimSun"/>
                <w:color w:val="000000"/>
                <w:sz w:val="20"/>
                <w:szCs w:val="20"/>
                <w:lang w:eastAsia="zh-CN" w:bidi="ar"/>
              </w:rPr>
              <w:t>Доходы от продажи материальных и нематериальных активов</w:t>
            </w:r>
          </w:p>
        </w:tc>
        <w:tc>
          <w:tcPr>
            <w:tcW w:w="1220" w:type="dxa"/>
            <w:tcBorders>
              <w:top w:val="nil"/>
              <w:left w:val="nil"/>
              <w:bottom w:val="single" w:color="auto" w:sz="4" w:space="0"/>
              <w:right w:val="single" w:color="auto" w:sz="4" w:space="0"/>
            </w:tcBorders>
            <w:shd w:val="clear" w:color="000000" w:fill="FFFFFF"/>
            <w:vAlign w:val="bottom"/>
          </w:tcPr>
          <w:p w14:paraId="23094543">
            <w:pPr>
              <w:jc w:val="center"/>
              <w:textAlignment w:val="bottom"/>
              <w:rPr>
                <w:color w:val="000000"/>
                <w:sz w:val="20"/>
                <w:szCs w:val="20"/>
              </w:rPr>
            </w:pPr>
            <w:r>
              <w:rPr>
                <w:rFonts w:eastAsia="SimSun"/>
                <w:color w:val="000000"/>
                <w:sz w:val="20"/>
                <w:szCs w:val="20"/>
                <w:lang w:eastAsia="zh-CN" w:bidi="ar"/>
              </w:rPr>
              <w:t xml:space="preserve"> </w:t>
            </w:r>
            <w:r>
              <w:rPr>
                <w:rFonts w:eastAsia="SimSun"/>
                <w:color w:val="000000"/>
                <w:sz w:val="20"/>
                <w:szCs w:val="20"/>
                <w:lang w:val="en-US" w:eastAsia="zh-CN" w:bidi="ar"/>
              </w:rPr>
              <w:t>870,65</w:t>
            </w:r>
          </w:p>
        </w:tc>
        <w:tc>
          <w:tcPr>
            <w:tcW w:w="1290" w:type="dxa"/>
            <w:tcBorders>
              <w:top w:val="nil"/>
              <w:left w:val="nil"/>
              <w:bottom w:val="single" w:color="auto" w:sz="4" w:space="0"/>
              <w:right w:val="single" w:color="auto" w:sz="4" w:space="0"/>
            </w:tcBorders>
            <w:shd w:val="clear" w:color="auto" w:fill="auto"/>
            <w:noWrap/>
            <w:vAlign w:val="bottom"/>
          </w:tcPr>
          <w:p w14:paraId="368A8D52">
            <w:pPr>
              <w:jc w:val="center"/>
              <w:textAlignment w:val="bottom"/>
              <w:rPr>
                <w:color w:val="000000"/>
                <w:sz w:val="20"/>
                <w:szCs w:val="20"/>
              </w:rPr>
            </w:pPr>
            <w:r>
              <w:rPr>
                <w:rFonts w:eastAsia="SimSun"/>
                <w:color w:val="000000"/>
                <w:sz w:val="20"/>
                <w:szCs w:val="20"/>
                <w:lang w:val="en-US" w:eastAsia="zh-CN" w:bidi="ar"/>
              </w:rPr>
              <w:t>10 941,05</w:t>
            </w:r>
          </w:p>
        </w:tc>
        <w:tc>
          <w:tcPr>
            <w:tcW w:w="1720" w:type="dxa"/>
            <w:tcBorders>
              <w:top w:val="nil"/>
              <w:left w:val="nil"/>
              <w:bottom w:val="single" w:color="auto" w:sz="4" w:space="0"/>
              <w:right w:val="single" w:color="auto" w:sz="4" w:space="0"/>
            </w:tcBorders>
            <w:shd w:val="clear" w:color="000000" w:fill="FFFFFF"/>
            <w:vAlign w:val="bottom"/>
          </w:tcPr>
          <w:p w14:paraId="3D4AF0B8">
            <w:pPr>
              <w:jc w:val="center"/>
              <w:textAlignment w:val="bottom"/>
              <w:rPr>
                <w:color w:val="000000"/>
                <w:sz w:val="20"/>
                <w:szCs w:val="20"/>
              </w:rPr>
            </w:pPr>
            <w:r>
              <w:rPr>
                <w:rFonts w:eastAsia="SimSun"/>
                <w:color w:val="000000"/>
                <w:sz w:val="20"/>
                <w:szCs w:val="20"/>
                <w:lang w:val="en-US" w:eastAsia="zh-CN" w:bidi="ar"/>
              </w:rPr>
              <w:t>1 713,12</w:t>
            </w:r>
          </w:p>
        </w:tc>
        <w:tc>
          <w:tcPr>
            <w:tcW w:w="1245" w:type="dxa"/>
            <w:tcBorders>
              <w:top w:val="nil"/>
              <w:left w:val="nil"/>
              <w:bottom w:val="single" w:color="auto" w:sz="4" w:space="0"/>
              <w:right w:val="single" w:color="auto" w:sz="4" w:space="0"/>
            </w:tcBorders>
            <w:shd w:val="clear" w:color="auto" w:fill="auto"/>
            <w:vAlign w:val="bottom"/>
          </w:tcPr>
          <w:p w14:paraId="7F74D348">
            <w:pPr>
              <w:jc w:val="center"/>
              <w:textAlignment w:val="bottom"/>
              <w:rPr>
                <w:color w:val="000000"/>
                <w:sz w:val="20"/>
                <w:szCs w:val="20"/>
              </w:rPr>
            </w:pPr>
            <w:r>
              <w:rPr>
                <w:rFonts w:eastAsia="SimSun"/>
                <w:color w:val="000000"/>
                <w:sz w:val="20"/>
                <w:szCs w:val="20"/>
                <w:lang w:val="en-US" w:eastAsia="zh-CN" w:bidi="ar"/>
              </w:rPr>
              <w:t>15,66</w:t>
            </w:r>
          </w:p>
        </w:tc>
        <w:tc>
          <w:tcPr>
            <w:tcW w:w="1336" w:type="dxa"/>
            <w:tcBorders>
              <w:top w:val="nil"/>
              <w:left w:val="nil"/>
              <w:bottom w:val="single" w:color="auto" w:sz="4" w:space="0"/>
              <w:right w:val="single" w:color="auto" w:sz="4" w:space="0"/>
            </w:tcBorders>
            <w:shd w:val="clear" w:color="auto" w:fill="auto"/>
            <w:vAlign w:val="bottom"/>
          </w:tcPr>
          <w:p w14:paraId="7258B272">
            <w:pPr>
              <w:jc w:val="center"/>
              <w:textAlignment w:val="bottom"/>
              <w:rPr>
                <w:color w:val="000000"/>
                <w:sz w:val="20"/>
                <w:szCs w:val="20"/>
              </w:rPr>
            </w:pPr>
            <w:r>
              <w:rPr>
                <w:rFonts w:eastAsia="SimSun"/>
                <w:color w:val="000000"/>
                <w:sz w:val="20"/>
                <w:szCs w:val="20"/>
                <w:lang w:val="en-US" w:eastAsia="zh-CN" w:bidi="ar"/>
              </w:rPr>
              <w:t>196,76</w:t>
            </w:r>
          </w:p>
        </w:tc>
      </w:tr>
      <w:tr w14:paraId="34D800B7">
        <w:tblPrEx>
          <w:tblCellMar>
            <w:top w:w="0" w:type="dxa"/>
            <w:left w:w="108" w:type="dxa"/>
            <w:bottom w:w="0" w:type="dxa"/>
            <w:right w:w="108" w:type="dxa"/>
          </w:tblCellMar>
        </w:tblPrEx>
        <w:trPr>
          <w:trHeight w:val="706"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51CF3FF3">
            <w:pPr>
              <w:textAlignment w:val="center"/>
              <w:rPr>
                <w:color w:val="000000"/>
                <w:sz w:val="20"/>
                <w:szCs w:val="20"/>
              </w:rPr>
            </w:pPr>
            <w:r>
              <w:rPr>
                <w:rFonts w:eastAsia="SimSun"/>
                <w:color w:val="000000"/>
                <w:sz w:val="20"/>
                <w:szCs w:val="20"/>
                <w:lang w:eastAsia="zh-CN" w:bidi="ar"/>
              </w:rPr>
              <w:t>Штрафы, санкции, возмещение ущерба, административные платежи</w:t>
            </w:r>
          </w:p>
        </w:tc>
        <w:tc>
          <w:tcPr>
            <w:tcW w:w="1220" w:type="dxa"/>
            <w:tcBorders>
              <w:top w:val="nil"/>
              <w:left w:val="nil"/>
              <w:bottom w:val="single" w:color="auto" w:sz="4" w:space="0"/>
              <w:right w:val="single" w:color="auto" w:sz="4" w:space="0"/>
            </w:tcBorders>
            <w:shd w:val="clear" w:color="000000" w:fill="FFFFFF"/>
            <w:vAlign w:val="bottom"/>
          </w:tcPr>
          <w:p w14:paraId="578EDF45">
            <w:pPr>
              <w:jc w:val="center"/>
              <w:textAlignment w:val="bottom"/>
              <w:rPr>
                <w:color w:val="000000"/>
                <w:sz w:val="20"/>
                <w:szCs w:val="20"/>
              </w:rPr>
            </w:pPr>
            <w:r>
              <w:rPr>
                <w:rFonts w:eastAsia="SimSun"/>
                <w:color w:val="000000"/>
                <w:sz w:val="20"/>
                <w:szCs w:val="20"/>
                <w:lang w:val="en-US" w:eastAsia="zh-CN" w:bidi="ar"/>
              </w:rPr>
              <w:t>1 668,50</w:t>
            </w:r>
          </w:p>
        </w:tc>
        <w:tc>
          <w:tcPr>
            <w:tcW w:w="1290" w:type="dxa"/>
            <w:tcBorders>
              <w:top w:val="nil"/>
              <w:left w:val="nil"/>
              <w:bottom w:val="single" w:color="auto" w:sz="4" w:space="0"/>
              <w:right w:val="single" w:color="auto" w:sz="4" w:space="0"/>
            </w:tcBorders>
            <w:shd w:val="clear" w:color="auto" w:fill="auto"/>
            <w:noWrap/>
            <w:vAlign w:val="bottom"/>
          </w:tcPr>
          <w:p w14:paraId="506BACFD">
            <w:pPr>
              <w:jc w:val="center"/>
              <w:textAlignment w:val="bottom"/>
              <w:rPr>
                <w:color w:val="000000"/>
                <w:sz w:val="20"/>
                <w:szCs w:val="20"/>
              </w:rPr>
            </w:pPr>
            <w:r>
              <w:rPr>
                <w:rFonts w:eastAsia="SimSun"/>
                <w:color w:val="000000"/>
                <w:sz w:val="20"/>
                <w:szCs w:val="20"/>
                <w:lang w:val="en-US" w:eastAsia="zh-CN" w:bidi="ar"/>
              </w:rPr>
              <w:t>2 874,62</w:t>
            </w:r>
          </w:p>
        </w:tc>
        <w:tc>
          <w:tcPr>
            <w:tcW w:w="1720" w:type="dxa"/>
            <w:tcBorders>
              <w:top w:val="nil"/>
              <w:left w:val="nil"/>
              <w:bottom w:val="single" w:color="auto" w:sz="4" w:space="0"/>
              <w:right w:val="single" w:color="auto" w:sz="4" w:space="0"/>
            </w:tcBorders>
            <w:shd w:val="clear" w:color="000000" w:fill="FFFFFF"/>
            <w:vAlign w:val="bottom"/>
          </w:tcPr>
          <w:p w14:paraId="2642F20A">
            <w:pPr>
              <w:jc w:val="center"/>
              <w:textAlignment w:val="bottom"/>
              <w:rPr>
                <w:color w:val="000000"/>
                <w:sz w:val="20"/>
                <w:szCs w:val="20"/>
              </w:rPr>
            </w:pPr>
            <w:r>
              <w:rPr>
                <w:rFonts w:eastAsia="SimSun"/>
                <w:color w:val="000000"/>
                <w:sz w:val="20"/>
                <w:szCs w:val="20"/>
                <w:lang w:val="en-US" w:eastAsia="zh-CN" w:bidi="ar"/>
              </w:rPr>
              <w:t xml:space="preserve"> 559,02</w:t>
            </w:r>
          </w:p>
        </w:tc>
        <w:tc>
          <w:tcPr>
            <w:tcW w:w="1245" w:type="dxa"/>
            <w:tcBorders>
              <w:top w:val="nil"/>
              <w:left w:val="nil"/>
              <w:bottom w:val="single" w:color="auto" w:sz="4" w:space="0"/>
              <w:right w:val="single" w:color="auto" w:sz="4" w:space="0"/>
            </w:tcBorders>
            <w:shd w:val="clear" w:color="auto" w:fill="auto"/>
            <w:vAlign w:val="bottom"/>
          </w:tcPr>
          <w:p w14:paraId="3360E07B">
            <w:pPr>
              <w:jc w:val="center"/>
              <w:textAlignment w:val="bottom"/>
              <w:rPr>
                <w:color w:val="000000"/>
                <w:sz w:val="20"/>
                <w:szCs w:val="20"/>
              </w:rPr>
            </w:pPr>
            <w:r>
              <w:rPr>
                <w:rFonts w:eastAsia="SimSun"/>
                <w:color w:val="000000"/>
                <w:sz w:val="20"/>
                <w:szCs w:val="20"/>
                <w:lang w:val="en-US" w:eastAsia="zh-CN" w:bidi="ar"/>
              </w:rPr>
              <w:t>19,45</w:t>
            </w:r>
          </w:p>
        </w:tc>
        <w:tc>
          <w:tcPr>
            <w:tcW w:w="1336" w:type="dxa"/>
            <w:tcBorders>
              <w:top w:val="nil"/>
              <w:left w:val="nil"/>
              <w:bottom w:val="single" w:color="auto" w:sz="4" w:space="0"/>
              <w:right w:val="single" w:color="auto" w:sz="4" w:space="0"/>
            </w:tcBorders>
            <w:shd w:val="clear" w:color="auto" w:fill="auto"/>
            <w:vAlign w:val="bottom"/>
          </w:tcPr>
          <w:p w14:paraId="63B8F056">
            <w:pPr>
              <w:jc w:val="center"/>
              <w:textAlignment w:val="bottom"/>
              <w:rPr>
                <w:color w:val="000000"/>
                <w:sz w:val="20"/>
                <w:szCs w:val="20"/>
              </w:rPr>
            </w:pPr>
            <w:r>
              <w:rPr>
                <w:rFonts w:eastAsia="SimSun"/>
                <w:color w:val="000000"/>
                <w:sz w:val="20"/>
                <w:szCs w:val="20"/>
                <w:lang w:val="en-US" w:eastAsia="zh-CN" w:bidi="ar"/>
              </w:rPr>
              <w:t>33,50</w:t>
            </w:r>
          </w:p>
        </w:tc>
      </w:tr>
      <w:tr w14:paraId="657946FB">
        <w:tblPrEx>
          <w:tblCellMar>
            <w:top w:w="0" w:type="dxa"/>
            <w:left w:w="108" w:type="dxa"/>
            <w:bottom w:w="0" w:type="dxa"/>
            <w:right w:w="108" w:type="dxa"/>
          </w:tblCellMar>
        </w:tblPrEx>
        <w:trPr>
          <w:trHeight w:val="300" w:hRule="atLeast"/>
        </w:trPr>
        <w:tc>
          <w:tcPr>
            <w:tcW w:w="2545" w:type="dxa"/>
            <w:tcBorders>
              <w:top w:val="nil"/>
              <w:left w:val="single" w:color="auto" w:sz="4" w:space="0"/>
              <w:bottom w:val="single" w:color="auto" w:sz="4" w:space="0"/>
              <w:right w:val="single" w:color="auto" w:sz="4" w:space="0"/>
            </w:tcBorders>
            <w:shd w:val="clear" w:color="auto" w:fill="auto"/>
            <w:vAlign w:val="center"/>
          </w:tcPr>
          <w:p w14:paraId="5369FEA6">
            <w:pPr>
              <w:textAlignment w:val="center"/>
              <w:rPr>
                <w:color w:val="000000"/>
                <w:sz w:val="20"/>
                <w:szCs w:val="20"/>
              </w:rPr>
            </w:pPr>
            <w:r>
              <w:rPr>
                <w:rFonts w:eastAsia="SimSun"/>
                <w:color w:val="000000"/>
                <w:sz w:val="20"/>
                <w:szCs w:val="20"/>
                <w:lang w:val="en-US" w:eastAsia="zh-CN" w:bidi="ar"/>
              </w:rPr>
              <w:t>Прочие неналоговые доходы</w:t>
            </w:r>
          </w:p>
        </w:tc>
        <w:tc>
          <w:tcPr>
            <w:tcW w:w="1220" w:type="dxa"/>
            <w:tcBorders>
              <w:top w:val="nil"/>
              <w:left w:val="nil"/>
              <w:bottom w:val="single" w:color="auto" w:sz="4" w:space="0"/>
              <w:right w:val="single" w:color="auto" w:sz="4" w:space="0"/>
            </w:tcBorders>
            <w:shd w:val="clear" w:color="000000" w:fill="FFFFFF"/>
            <w:vAlign w:val="bottom"/>
          </w:tcPr>
          <w:p w14:paraId="59A350DC">
            <w:pPr>
              <w:jc w:val="center"/>
              <w:textAlignment w:val="bottom"/>
              <w:rPr>
                <w:color w:val="000000"/>
                <w:sz w:val="20"/>
                <w:szCs w:val="20"/>
              </w:rPr>
            </w:pPr>
            <w:r>
              <w:rPr>
                <w:rFonts w:eastAsia="SimSun"/>
                <w:color w:val="000000"/>
                <w:sz w:val="20"/>
                <w:szCs w:val="20"/>
                <w:lang w:val="en-US" w:eastAsia="zh-CN" w:bidi="ar"/>
              </w:rPr>
              <w:t xml:space="preserve"> 195,14</w:t>
            </w:r>
          </w:p>
        </w:tc>
        <w:tc>
          <w:tcPr>
            <w:tcW w:w="1290" w:type="dxa"/>
            <w:tcBorders>
              <w:top w:val="nil"/>
              <w:left w:val="nil"/>
              <w:bottom w:val="single" w:color="auto" w:sz="4" w:space="0"/>
              <w:right w:val="single" w:color="auto" w:sz="4" w:space="0"/>
            </w:tcBorders>
            <w:shd w:val="clear" w:color="auto" w:fill="auto"/>
            <w:noWrap/>
            <w:vAlign w:val="bottom"/>
          </w:tcPr>
          <w:p w14:paraId="786C9816">
            <w:pPr>
              <w:jc w:val="center"/>
              <w:textAlignment w:val="bottom"/>
              <w:rPr>
                <w:color w:val="000000"/>
                <w:sz w:val="20"/>
                <w:szCs w:val="20"/>
              </w:rPr>
            </w:pPr>
            <w:r>
              <w:rPr>
                <w:rFonts w:eastAsia="SimSun"/>
                <w:color w:val="000000"/>
                <w:sz w:val="20"/>
                <w:szCs w:val="20"/>
                <w:lang w:val="en-US" w:eastAsia="zh-CN" w:bidi="ar"/>
              </w:rPr>
              <w:t xml:space="preserve"> 240,00</w:t>
            </w:r>
          </w:p>
        </w:tc>
        <w:tc>
          <w:tcPr>
            <w:tcW w:w="1720" w:type="dxa"/>
            <w:tcBorders>
              <w:top w:val="nil"/>
              <w:left w:val="nil"/>
              <w:bottom w:val="single" w:color="auto" w:sz="4" w:space="0"/>
              <w:right w:val="single" w:color="auto" w:sz="4" w:space="0"/>
            </w:tcBorders>
            <w:shd w:val="clear" w:color="000000" w:fill="FFFFFF"/>
            <w:vAlign w:val="bottom"/>
          </w:tcPr>
          <w:p w14:paraId="5EFA42AC">
            <w:pPr>
              <w:jc w:val="center"/>
              <w:textAlignment w:val="bottom"/>
              <w:rPr>
                <w:color w:val="000000"/>
                <w:sz w:val="20"/>
                <w:szCs w:val="20"/>
              </w:rPr>
            </w:pPr>
            <w:r>
              <w:rPr>
                <w:rFonts w:eastAsia="SimSun"/>
                <w:color w:val="000000"/>
                <w:sz w:val="20"/>
                <w:szCs w:val="20"/>
                <w:lang w:val="en-US" w:eastAsia="zh-CN" w:bidi="ar"/>
              </w:rPr>
              <w:t>- 51,89</w:t>
            </w:r>
          </w:p>
        </w:tc>
        <w:tc>
          <w:tcPr>
            <w:tcW w:w="1245" w:type="dxa"/>
            <w:tcBorders>
              <w:top w:val="nil"/>
              <w:left w:val="nil"/>
              <w:bottom w:val="single" w:color="auto" w:sz="4" w:space="0"/>
              <w:right w:val="single" w:color="auto" w:sz="4" w:space="0"/>
            </w:tcBorders>
            <w:shd w:val="clear" w:color="auto" w:fill="auto"/>
            <w:vAlign w:val="bottom"/>
          </w:tcPr>
          <w:p w14:paraId="18D0CCDB">
            <w:pPr>
              <w:jc w:val="center"/>
              <w:textAlignment w:val="bottom"/>
              <w:rPr>
                <w:color w:val="000000"/>
                <w:sz w:val="20"/>
                <w:szCs w:val="20"/>
              </w:rPr>
            </w:pPr>
            <w:r>
              <w:rPr>
                <w:rFonts w:eastAsia="SimSun"/>
                <w:color w:val="000000"/>
                <w:sz w:val="20"/>
                <w:szCs w:val="20"/>
                <w:lang w:val="en-US" w:eastAsia="zh-CN" w:bidi="ar"/>
              </w:rPr>
              <w:t>-21,62</w:t>
            </w:r>
          </w:p>
        </w:tc>
        <w:tc>
          <w:tcPr>
            <w:tcW w:w="1336" w:type="dxa"/>
            <w:tcBorders>
              <w:top w:val="nil"/>
              <w:left w:val="nil"/>
              <w:bottom w:val="single" w:color="auto" w:sz="4" w:space="0"/>
              <w:right w:val="single" w:color="auto" w:sz="4" w:space="0"/>
            </w:tcBorders>
            <w:shd w:val="clear" w:color="auto" w:fill="auto"/>
            <w:vAlign w:val="bottom"/>
          </w:tcPr>
          <w:p w14:paraId="780B43E6">
            <w:pPr>
              <w:jc w:val="center"/>
              <w:textAlignment w:val="bottom"/>
              <w:rPr>
                <w:color w:val="000000"/>
                <w:sz w:val="20"/>
                <w:szCs w:val="20"/>
              </w:rPr>
            </w:pPr>
            <w:r>
              <w:rPr>
                <w:rFonts w:eastAsia="SimSun"/>
                <w:color w:val="000000"/>
                <w:sz w:val="20"/>
                <w:szCs w:val="20"/>
                <w:lang w:val="en-US" w:eastAsia="zh-CN" w:bidi="ar"/>
              </w:rPr>
              <w:t>-26,59</w:t>
            </w:r>
          </w:p>
        </w:tc>
      </w:tr>
    </w:tbl>
    <w:p w14:paraId="3488ED4D">
      <w:pPr>
        <w:shd w:val="clear" w:color="auto" w:fill="FFFFFF"/>
        <w:jc w:val="both"/>
        <w:rPr>
          <w:sz w:val="20"/>
          <w:szCs w:val="20"/>
        </w:rPr>
      </w:pPr>
    </w:p>
    <w:p w14:paraId="6C2CE6A8">
      <w:pPr>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Налоговые доходы</w:t>
      </w:r>
      <w:r>
        <w:rPr>
          <w:color w:val="000000" w:themeColor="text1"/>
          <w14:textFill>
            <w14:solidFill>
              <w14:schemeClr w14:val="tx1"/>
            </w14:solidFill>
          </w14:textFill>
        </w:rPr>
        <w:t xml:space="preserve"> за 1 квартал текущего года составили </w:t>
      </w:r>
      <w:r>
        <w:rPr>
          <w:b/>
          <w:bCs/>
          <w:color w:val="000000" w:themeColor="text1"/>
          <w14:textFill>
            <w14:solidFill>
              <w14:schemeClr w14:val="tx1"/>
            </w14:solidFill>
          </w14:textFill>
        </w:rPr>
        <w:t xml:space="preserve">100 600,81 </w:t>
      </w:r>
      <w:r>
        <w:rPr>
          <w:color w:val="000000" w:themeColor="text1"/>
          <w14:textFill>
            <w14:solidFill>
              <w14:schemeClr w14:val="tx1"/>
            </w14:solidFill>
          </w14:textFill>
        </w:rPr>
        <w:t>тыс. руб., их доля в общей сумме налоговых и неналоговых поступлений (далее - доходов) составляет 77,9%. В сравнении с анализируемым периодом 2024 года сумма налоговых доходов увеличилась на 11445,87 тыс. руб., или на 12,84 %.</w:t>
      </w:r>
    </w:p>
    <w:p w14:paraId="2E1ADAAD">
      <w:pPr>
        <w:jc w:val="both"/>
        <w:rPr>
          <w:color w:val="376092" w:themeColor="accent1" w:themeShade="BF"/>
        </w:rPr>
      </w:pPr>
      <w:r>
        <w:rPr>
          <w:color w:val="000000" w:themeColor="text1"/>
          <w14:textFill>
            <w14:solidFill>
              <w14:schemeClr w14:val="tx1"/>
            </w14:solidFill>
          </w14:textFill>
        </w:rPr>
        <w:t>Структура налоговых поступлений за 1 квартал 2025 года представлена в диаграмме №1.</w:t>
      </w:r>
    </w:p>
    <w:p w14:paraId="7E5657AB">
      <w:pPr>
        <w:jc w:val="both"/>
        <w:rPr>
          <w:color w:val="376092" w:themeColor="accent1" w:themeShade="BF"/>
        </w:rPr>
      </w:pPr>
      <w:r>
        <w:drawing>
          <wp:inline distT="0" distB="0" distL="114300" distR="114300">
            <wp:extent cx="5814695" cy="2473960"/>
            <wp:effectExtent l="4445" t="4445" r="10160" b="17145"/>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58427EF">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Основным налогом, за счёт поступлений которого формируется бюджет района, является налог на доходы физических лиц, его доля в общей сумме доходов за 1 квартал 2025 года составила 50,3% (</w:t>
      </w:r>
      <w:r>
        <w:rPr>
          <w:bCs/>
          <w:color w:val="000000" w:themeColor="text1"/>
          <w14:textFill>
            <w14:solidFill>
              <w14:schemeClr w14:val="tx1"/>
            </w14:solidFill>
          </w14:textFill>
        </w:rPr>
        <w:t xml:space="preserve">64976,04 </w:t>
      </w:r>
      <w:r>
        <w:rPr>
          <w:color w:val="000000" w:themeColor="text1"/>
          <w14:textFill>
            <w14:solidFill>
              <w14:schemeClr w14:val="tx1"/>
            </w14:solidFill>
          </w14:textFill>
        </w:rPr>
        <w:t>тыс. руб.).</w:t>
      </w:r>
    </w:p>
    <w:p w14:paraId="6F7D4B31">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В сравнении с анализируемым периодом 2024 года сумма поступлений по НДФЛ </w:t>
      </w:r>
      <w:r>
        <w:rPr>
          <w:b/>
          <w:bCs/>
          <w:color w:val="000000" w:themeColor="text1"/>
          <w14:textFill>
            <w14:solidFill>
              <w14:schemeClr w14:val="tx1"/>
            </w14:solidFill>
          </w14:textFill>
        </w:rPr>
        <w:t>увеличилась</w:t>
      </w:r>
      <w:r>
        <w:rPr>
          <w:color w:val="000000" w:themeColor="text1"/>
          <w14:textFill>
            <w14:solidFill>
              <w14:schemeClr w14:val="tx1"/>
            </w14:solidFill>
          </w14:textFill>
        </w:rPr>
        <w:t xml:space="preserve"> на 6187,23 тыс. руб., или на 10,52% за счёт увеличения МРОТ с 01.01.2025 г.</w:t>
      </w:r>
    </w:p>
    <w:p w14:paraId="119A608C">
      <w:pPr>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Налог на товары (акцизы – 11182,5 тыс. руб.</w:t>
      </w:r>
      <w:r>
        <w:rPr>
          <w:color w:val="000000" w:themeColor="text1"/>
          <w14:textFill>
            <w14:solidFill>
              <w14:schemeClr w14:val="tx1"/>
            </w14:solidFill>
          </w14:textFill>
        </w:rPr>
        <w:t xml:space="preserve">) - его доля в общей сумме доходов за 1 квартал 2025 года составила 8,7%. В сравнении с анализируемым периодом 2024 года сумма поступлений </w:t>
      </w:r>
      <w:r>
        <w:rPr>
          <w:b/>
          <w:bCs/>
          <w:color w:val="000000" w:themeColor="text1"/>
          <w14:textFill>
            <w14:solidFill>
              <w14:schemeClr w14:val="tx1"/>
            </w14:solidFill>
          </w14:textFill>
        </w:rPr>
        <w:t>увеличилась</w:t>
      </w:r>
      <w:r>
        <w:rPr>
          <w:color w:val="000000" w:themeColor="text1"/>
          <w14:textFill>
            <w14:solidFill>
              <w14:schemeClr w14:val="tx1"/>
            </w14:solidFill>
          </w14:textFill>
        </w:rPr>
        <w:t xml:space="preserve"> на 590,67 тыс. руб., или на 5,58%. Объем акцизов рассчитывается, исходя из прогноза поступлений главного администратора доходов - Управления Федерального Казначейства по Астраханской области. </w:t>
      </w:r>
    </w:p>
    <w:p w14:paraId="750F8F70">
      <w:pPr>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Налог на совокупный доход (16878,28 тыс. руб.) -</w:t>
      </w:r>
      <w:r>
        <w:rPr>
          <w:color w:val="000000" w:themeColor="text1"/>
          <w14:textFill>
            <w14:solidFill>
              <w14:schemeClr w14:val="tx1"/>
            </w14:solidFill>
          </w14:textFill>
        </w:rPr>
        <w:t xml:space="preserve"> его доля в общей сумме доходов за 1 квартал 2025 года составила 13,1%. В сравнении с анализируемым периодом 2024 года сумма поступлений </w:t>
      </w:r>
      <w:r>
        <w:rPr>
          <w:b/>
          <w:color w:val="000000" w:themeColor="text1"/>
          <w14:textFill>
            <w14:solidFill>
              <w14:schemeClr w14:val="tx1"/>
            </w14:solidFill>
          </w14:textFill>
        </w:rPr>
        <w:t>уменьшилась</w:t>
      </w:r>
      <w:r>
        <w:rPr>
          <w:color w:val="000000" w:themeColor="text1"/>
          <w14:textFill>
            <w14:solidFill>
              <w14:schemeClr w14:val="tx1"/>
            </w14:solidFill>
          </w14:textFill>
        </w:rPr>
        <w:t xml:space="preserve"> на 689,14 тыс. руб., или на 3,92%. Изменение поступлений по видам налогов представлено в таблице №3.</w:t>
      </w:r>
    </w:p>
    <w:p w14:paraId="3434A9E6">
      <w:pPr>
        <w:jc w:val="both"/>
        <w:rPr>
          <w:color w:val="000000" w:themeColor="text1"/>
          <w14:textFill>
            <w14:solidFill>
              <w14:schemeClr w14:val="tx1"/>
            </w14:solidFill>
          </w14:textFill>
        </w:rPr>
      </w:pPr>
    </w:p>
    <w:p w14:paraId="2587E1EC">
      <w:pPr>
        <w:jc w:val="both"/>
        <w:rPr>
          <w:color w:val="000000" w:themeColor="text1"/>
          <w14:textFill>
            <w14:solidFill>
              <w14:schemeClr w14:val="tx1"/>
            </w14:solidFill>
          </w14:textFill>
        </w:rPr>
      </w:pPr>
    </w:p>
    <w:p w14:paraId="6554F622">
      <w:pPr>
        <w:jc w:val="both"/>
        <w:rPr>
          <w:color w:val="000000" w:themeColor="text1"/>
          <w14:textFill>
            <w14:solidFill>
              <w14:schemeClr w14:val="tx1"/>
            </w14:solidFill>
          </w14:textFill>
        </w:rPr>
      </w:pPr>
    </w:p>
    <w:p w14:paraId="4A68631F">
      <w:pPr>
        <w:ind w:firstLine="567"/>
        <w:jc w:val="right"/>
        <w:rPr>
          <w:color w:val="376092" w:themeColor="accent1" w:themeShade="BF"/>
        </w:rPr>
      </w:pPr>
      <w:r>
        <w:rPr>
          <w:color w:val="000000" w:themeColor="text1"/>
          <w14:textFill>
            <w14:solidFill>
              <w14:schemeClr w14:val="tx1"/>
            </w14:solidFill>
          </w14:textFill>
        </w:rPr>
        <w:t>Таблица №3 (тыс. руб.)</w:t>
      </w:r>
    </w:p>
    <w:tbl>
      <w:tblPr>
        <w:tblStyle w:val="3"/>
        <w:tblW w:w="94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1296"/>
        <w:gridCol w:w="1281"/>
        <w:gridCol w:w="1275"/>
        <w:gridCol w:w="1323"/>
        <w:gridCol w:w="1336"/>
      </w:tblGrid>
      <w:tr w14:paraId="7885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967" w:type="dxa"/>
            <w:shd w:val="clear" w:color="auto" w:fill="auto"/>
            <w:noWrap/>
            <w:vAlign w:val="center"/>
          </w:tcPr>
          <w:p w14:paraId="329A992C">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Наименование</w:t>
            </w:r>
          </w:p>
        </w:tc>
        <w:tc>
          <w:tcPr>
            <w:tcW w:w="1296" w:type="dxa"/>
            <w:shd w:val="clear" w:color="auto" w:fill="auto"/>
            <w:noWrap/>
            <w:vAlign w:val="center"/>
          </w:tcPr>
          <w:p w14:paraId="1D6A77D8">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Исполнение бюджета на 01.04.2024 г</w:t>
            </w:r>
          </w:p>
        </w:tc>
        <w:tc>
          <w:tcPr>
            <w:tcW w:w="1281" w:type="dxa"/>
            <w:shd w:val="clear" w:color="auto" w:fill="auto"/>
            <w:noWrap/>
            <w:vAlign w:val="center"/>
          </w:tcPr>
          <w:p w14:paraId="586B5A9B">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Прогноз на 2025 год</w:t>
            </w:r>
          </w:p>
        </w:tc>
        <w:tc>
          <w:tcPr>
            <w:tcW w:w="1275" w:type="dxa"/>
            <w:shd w:val="clear" w:color="auto" w:fill="auto"/>
            <w:noWrap/>
            <w:vAlign w:val="center"/>
          </w:tcPr>
          <w:p w14:paraId="7122DA8A">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Исполнение на 01.04.2025г</w:t>
            </w:r>
          </w:p>
        </w:tc>
        <w:tc>
          <w:tcPr>
            <w:tcW w:w="1323" w:type="dxa"/>
            <w:shd w:val="clear" w:color="000000" w:fill="FFFFFF"/>
            <w:noWrap/>
            <w:vAlign w:val="center"/>
          </w:tcPr>
          <w:p w14:paraId="44198086">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Изменение</w:t>
            </w:r>
          </w:p>
          <w:p w14:paraId="3B46DB58">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(ст.4-ст2)</w:t>
            </w:r>
          </w:p>
        </w:tc>
        <w:tc>
          <w:tcPr>
            <w:tcW w:w="1336" w:type="dxa"/>
            <w:shd w:val="clear" w:color="auto" w:fill="auto"/>
            <w:vAlign w:val="center"/>
          </w:tcPr>
          <w:p w14:paraId="694A54AC">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Темпы роста 2025 к 2024 (%) гр.4/гр.2*100</w:t>
            </w:r>
          </w:p>
        </w:tc>
      </w:tr>
      <w:tr w14:paraId="4DB0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967" w:type="dxa"/>
            <w:shd w:val="clear" w:color="auto" w:fill="auto"/>
            <w:noWrap/>
            <w:vAlign w:val="center"/>
          </w:tcPr>
          <w:p w14:paraId="271C446D">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1296" w:type="dxa"/>
            <w:shd w:val="clear" w:color="auto" w:fill="auto"/>
            <w:noWrap/>
            <w:vAlign w:val="center"/>
          </w:tcPr>
          <w:p w14:paraId="0ABA6A47">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1281" w:type="dxa"/>
            <w:shd w:val="clear" w:color="auto" w:fill="auto"/>
            <w:noWrap/>
            <w:vAlign w:val="center"/>
          </w:tcPr>
          <w:p w14:paraId="7A9BAAFA">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1275" w:type="dxa"/>
            <w:shd w:val="clear" w:color="auto" w:fill="auto"/>
            <w:noWrap/>
            <w:vAlign w:val="center"/>
          </w:tcPr>
          <w:p w14:paraId="311666D8">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1323" w:type="dxa"/>
            <w:shd w:val="clear" w:color="auto" w:fill="auto"/>
            <w:noWrap/>
            <w:vAlign w:val="center"/>
          </w:tcPr>
          <w:p w14:paraId="66F4529A">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1336" w:type="dxa"/>
            <w:shd w:val="clear" w:color="auto" w:fill="auto"/>
            <w:noWrap/>
            <w:vAlign w:val="bottom"/>
          </w:tcPr>
          <w:p w14:paraId="203D4A32">
            <w:pPr>
              <w:jc w:val="center"/>
              <w:rPr>
                <w:rFonts w:ascii="Calibri" w:hAnsi="Calibri"/>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r>
      <w:tr w14:paraId="1518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14:paraId="282AF201">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Налог, взимаемый в связи с применением упрощённой системы налогообложения (УСН)</w:t>
            </w:r>
          </w:p>
        </w:tc>
        <w:tc>
          <w:tcPr>
            <w:tcW w:w="1296" w:type="dxa"/>
            <w:shd w:val="clear" w:color="000000" w:fill="FFFFFF"/>
            <w:noWrap/>
            <w:vAlign w:val="bottom"/>
          </w:tcPr>
          <w:p w14:paraId="1C3CB1E4">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7 294,70</w:t>
            </w:r>
          </w:p>
        </w:tc>
        <w:tc>
          <w:tcPr>
            <w:tcW w:w="1281" w:type="dxa"/>
            <w:shd w:val="clear" w:color="000000" w:fill="FFFFFF"/>
            <w:noWrap/>
            <w:vAlign w:val="bottom"/>
          </w:tcPr>
          <w:p w14:paraId="360F4805">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63 350,00</w:t>
            </w:r>
          </w:p>
        </w:tc>
        <w:tc>
          <w:tcPr>
            <w:tcW w:w="1275" w:type="dxa"/>
            <w:shd w:val="clear" w:color="000000" w:fill="FFFFFF"/>
            <w:noWrap/>
            <w:vAlign w:val="bottom"/>
          </w:tcPr>
          <w:p w14:paraId="444F3F52">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6 815,39</w:t>
            </w:r>
          </w:p>
        </w:tc>
        <w:tc>
          <w:tcPr>
            <w:tcW w:w="1323" w:type="dxa"/>
            <w:shd w:val="clear" w:color="auto" w:fill="auto"/>
            <w:vAlign w:val="bottom"/>
          </w:tcPr>
          <w:p w14:paraId="1A66AFA2">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- 479,31</w:t>
            </w:r>
          </w:p>
        </w:tc>
        <w:tc>
          <w:tcPr>
            <w:tcW w:w="1336" w:type="dxa"/>
            <w:shd w:val="clear" w:color="auto" w:fill="auto"/>
            <w:noWrap/>
            <w:vAlign w:val="bottom"/>
          </w:tcPr>
          <w:p w14:paraId="11802301">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93,43</w:t>
            </w:r>
          </w:p>
        </w:tc>
      </w:tr>
      <w:tr w14:paraId="392C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967" w:type="dxa"/>
            <w:shd w:val="clear" w:color="auto" w:fill="auto"/>
            <w:vAlign w:val="center"/>
          </w:tcPr>
          <w:p w14:paraId="1E61C5E2">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Единый налог на вменённый доход для отдельных видов деятельности (ЕНВД)</w:t>
            </w:r>
          </w:p>
        </w:tc>
        <w:tc>
          <w:tcPr>
            <w:tcW w:w="1296" w:type="dxa"/>
            <w:shd w:val="clear" w:color="000000" w:fill="FFFFFF"/>
            <w:noWrap/>
            <w:vAlign w:val="bottom"/>
          </w:tcPr>
          <w:p w14:paraId="3A575E36">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37,46</w:t>
            </w:r>
          </w:p>
        </w:tc>
        <w:tc>
          <w:tcPr>
            <w:tcW w:w="1281" w:type="dxa"/>
            <w:shd w:val="clear" w:color="000000" w:fill="FFFFFF"/>
            <w:noWrap/>
            <w:vAlign w:val="bottom"/>
          </w:tcPr>
          <w:p w14:paraId="5403AD8B">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0,00</w:t>
            </w:r>
          </w:p>
        </w:tc>
        <w:tc>
          <w:tcPr>
            <w:tcW w:w="1275" w:type="dxa"/>
            <w:shd w:val="clear" w:color="000000" w:fill="FFFFFF"/>
            <w:noWrap/>
            <w:vAlign w:val="bottom"/>
          </w:tcPr>
          <w:p w14:paraId="45658D2E">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33,20</w:t>
            </w:r>
          </w:p>
        </w:tc>
        <w:tc>
          <w:tcPr>
            <w:tcW w:w="1323" w:type="dxa"/>
            <w:shd w:val="clear" w:color="auto" w:fill="auto"/>
            <w:vAlign w:val="bottom"/>
          </w:tcPr>
          <w:p w14:paraId="5F8B71F4">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- 4,26</w:t>
            </w:r>
          </w:p>
        </w:tc>
        <w:tc>
          <w:tcPr>
            <w:tcW w:w="1336" w:type="dxa"/>
            <w:shd w:val="clear" w:color="auto" w:fill="auto"/>
            <w:noWrap/>
            <w:vAlign w:val="bottom"/>
          </w:tcPr>
          <w:p w14:paraId="16915A16">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88,63</w:t>
            </w:r>
          </w:p>
        </w:tc>
      </w:tr>
      <w:tr w14:paraId="34E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7" w:type="dxa"/>
            <w:shd w:val="clear" w:color="auto" w:fill="auto"/>
            <w:vAlign w:val="center"/>
          </w:tcPr>
          <w:p w14:paraId="3B7405A4">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Единый сельскохозяйственный налог (ЕСХН)</w:t>
            </w:r>
          </w:p>
        </w:tc>
        <w:tc>
          <w:tcPr>
            <w:tcW w:w="1296" w:type="dxa"/>
            <w:shd w:val="clear" w:color="000000" w:fill="FFFFFF"/>
            <w:noWrap/>
            <w:vAlign w:val="bottom"/>
          </w:tcPr>
          <w:p w14:paraId="0654E267">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2 499,94</w:t>
            </w:r>
          </w:p>
        </w:tc>
        <w:tc>
          <w:tcPr>
            <w:tcW w:w="1281" w:type="dxa"/>
            <w:shd w:val="clear" w:color="000000" w:fill="FFFFFF"/>
            <w:noWrap/>
            <w:vAlign w:val="bottom"/>
          </w:tcPr>
          <w:p w14:paraId="37C75108">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3 605,00</w:t>
            </w:r>
          </w:p>
        </w:tc>
        <w:tc>
          <w:tcPr>
            <w:tcW w:w="1275" w:type="dxa"/>
            <w:shd w:val="clear" w:color="000000" w:fill="FFFFFF"/>
            <w:noWrap/>
            <w:vAlign w:val="bottom"/>
          </w:tcPr>
          <w:p w14:paraId="6348C778">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3 714,91</w:t>
            </w:r>
          </w:p>
        </w:tc>
        <w:tc>
          <w:tcPr>
            <w:tcW w:w="1323" w:type="dxa"/>
            <w:shd w:val="clear" w:color="auto" w:fill="auto"/>
            <w:vAlign w:val="bottom"/>
          </w:tcPr>
          <w:p w14:paraId="6E4B7661">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1 214,97</w:t>
            </w:r>
          </w:p>
        </w:tc>
        <w:tc>
          <w:tcPr>
            <w:tcW w:w="1336" w:type="dxa"/>
            <w:shd w:val="clear" w:color="auto" w:fill="auto"/>
            <w:noWrap/>
            <w:vAlign w:val="bottom"/>
          </w:tcPr>
          <w:p w14:paraId="2468BFBE">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148,60</w:t>
            </w:r>
          </w:p>
        </w:tc>
      </w:tr>
      <w:tr w14:paraId="24AB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67" w:type="dxa"/>
            <w:shd w:val="clear" w:color="auto" w:fill="auto"/>
            <w:vAlign w:val="center"/>
          </w:tcPr>
          <w:p w14:paraId="507DE506">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Налог, взимаемый в связи с применением патентной системы налогообложения (Патент)</w:t>
            </w:r>
          </w:p>
        </w:tc>
        <w:tc>
          <w:tcPr>
            <w:tcW w:w="1296" w:type="dxa"/>
            <w:shd w:val="clear" w:color="000000" w:fill="FFFFFF"/>
            <w:noWrap/>
            <w:vAlign w:val="bottom"/>
          </w:tcPr>
          <w:p w14:paraId="0FB0988E">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7 735,32</w:t>
            </w:r>
          </w:p>
        </w:tc>
        <w:tc>
          <w:tcPr>
            <w:tcW w:w="1281" w:type="dxa"/>
            <w:shd w:val="clear" w:color="000000" w:fill="FFFFFF"/>
            <w:noWrap/>
            <w:vAlign w:val="bottom"/>
          </w:tcPr>
          <w:p w14:paraId="7064DC91">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15 608,00</w:t>
            </w:r>
          </w:p>
        </w:tc>
        <w:tc>
          <w:tcPr>
            <w:tcW w:w="1275" w:type="dxa"/>
            <w:shd w:val="clear" w:color="000000" w:fill="FFFFFF"/>
            <w:noWrap/>
            <w:vAlign w:val="bottom"/>
          </w:tcPr>
          <w:p w14:paraId="08768620">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6 314,77</w:t>
            </w:r>
          </w:p>
        </w:tc>
        <w:tc>
          <w:tcPr>
            <w:tcW w:w="1323" w:type="dxa"/>
            <w:shd w:val="clear" w:color="auto" w:fill="auto"/>
            <w:vAlign w:val="bottom"/>
          </w:tcPr>
          <w:p w14:paraId="6064C593">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-1 420,55</w:t>
            </w:r>
          </w:p>
        </w:tc>
        <w:tc>
          <w:tcPr>
            <w:tcW w:w="1336" w:type="dxa"/>
            <w:shd w:val="clear" w:color="auto" w:fill="auto"/>
            <w:noWrap/>
            <w:vAlign w:val="bottom"/>
          </w:tcPr>
          <w:p w14:paraId="40A4E3EC">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81,64</w:t>
            </w:r>
          </w:p>
        </w:tc>
      </w:tr>
      <w:tr w14:paraId="76C1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7" w:type="dxa"/>
            <w:shd w:val="clear" w:color="auto" w:fill="auto"/>
            <w:vAlign w:val="center"/>
          </w:tcPr>
          <w:p w14:paraId="1C934308">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ИТОГО</w:t>
            </w:r>
          </w:p>
        </w:tc>
        <w:tc>
          <w:tcPr>
            <w:tcW w:w="1296" w:type="dxa"/>
            <w:shd w:val="clear" w:color="000000" w:fill="FFFFFF"/>
            <w:noWrap/>
            <w:vAlign w:val="bottom"/>
          </w:tcPr>
          <w:p w14:paraId="32071254">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17 567,42</w:t>
            </w:r>
          </w:p>
        </w:tc>
        <w:tc>
          <w:tcPr>
            <w:tcW w:w="1281" w:type="dxa"/>
            <w:shd w:val="clear" w:color="000000" w:fill="FFFFFF"/>
            <w:noWrap/>
            <w:vAlign w:val="bottom"/>
          </w:tcPr>
          <w:p w14:paraId="573B2377">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82 563,00</w:t>
            </w:r>
          </w:p>
        </w:tc>
        <w:tc>
          <w:tcPr>
            <w:tcW w:w="1275" w:type="dxa"/>
            <w:shd w:val="clear" w:color="000000" w:fill="FFFFFF"/>
            <w:noWrap/>
            <w:vAlign w:val="bottom"/>
          </w:tcPr>
          <w:p w14:paraId="2F14E732">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16 878,28</w:t>
            </w:r>
          </w:p>
        </w:tc>
        <w:tc>
          <w:tcPr>
            <w:tcW w:w="1323" w:type="dxa"/>
            <w:shd w:val="clear" w:color="auto" w:fill="auto"/>
            <w:vAlign w:val="bottom"/>
          </w:tcPr>
          <w:p w14:paraId="15974AA7">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- 689,14</w:t>
            </w:r>
          </w:p>
        </w:tc>
        <w:tc>
          <w:tcPr>
            <w:tcW w:w="1336" w:type="dxa"/>
            <w:shd w:val="clear" w:color="auto" w:fill="auto"/>
            <w:noWrap/>
            <w:vAlign w:val="bottom"/>
          </w:tcPr>
          <w:p w14:paraId="4D0C64BC">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96,08</w:t>
            </w:r>
          </w:p>
        </w:tc>
      </w:tr>
    </w:tbl>
    <w:p w14:paraId="68F7ECAB">
      <w:pPr>
        <w:ind w:firstLine="567"/>
        <w:jc w:val="both"/>
        <w:rPr>
          <w:bCs/>
          <w:color w:val="000000" w:themeColor="text1"/>
          <w14:textFill>
            <w14:solidFill>
              <w14:schemeClr w14:val="tx1"/>
            </w14:solidFill>
          </w14:textFill>
        </w:rPr>
      </w:pPr>
      <w:r>
        <w:rPr>
          <w:bCs/>
          <w:color w:val="000000" w:themeColor="text1"/>
          <w14:textFill>
            <w14:solidFill>
              <w14:schemeClr w14:val="tx1"/>
            </w14:solidFill>
          </w14:textFill>
        </w:rPr>
        <w:t>Динамика налоговых поступлений за последние 3 года (на 1 апреля каждого года) представлена на графике:</w:t>
      </w:r>
    </w:p>
    <w:p w14:paraId="3C68EF46">
      <w:pPr>
        <w:ind w:firstLine="567"/>
        <w:jc w:val="both"/>
        <w:rPr>
          <w:bCs/>
          <w:color w:val="376092" w:themeColor="accent1" w:themeShade="BF"/>
        </w:rPr>
      </w:pPr>
      <w:r>
        <w:drawing>
          <wp:inline distT="0" distB="0" distL="114300" distR="114300">
            <wp:extent cx="4845050" cy="1960880"/>
            <wp:effectExtent l="4445" t="4445" r="8255" b="15875"/>
            <wp:docPr id="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39E81B">
      <w:pPr>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Госпошлина (7564,0 тыс. руб.) -</w:t>
      </w:r>
      <w:r>
        <w:rPr>
          <w:color w:val="000000" w:themeColor="text1"/>
          <w14:textFill>
            <w14:solidFill>
              <w14:schemeClr w14:val="tx1"/>
            </w14:solidFill>
          </w14:textFill>
        </w:rPr>
        <w:t xml:space="preserve"> в общей сумме </w:t>
      </w:r>
      <w:r>
        <w:rPr>
          <w:bCs/>
          <w:color w:val="000000" w:themeColor="text1"/>
          <w14:textFill>
            <w14:solidFill>
              <w14:schemeClr w14:val="tx1"/>
            </w14:solidFill>
          </w14:textFill>
        </w:rPr>
        <w:t>доходов д</w:t>
      </w:r>
      <w:r>
        <w:rPr>
          <w:color w:val="000000" w:themeColor="text1"/>
          <w14:textFill>
            <w14:solidFill>
              <w14:schemeClr w14:val="tx1"/>
            </w14:solidFill>
          </w14:textFill>
        </w:rPr>
        <w:t>оля госпошлины составила 5,9%. В сравнении с анализируемым периодом 2024 года сумма поступлений увеличилась на 5348,24 тыс. руб., или на 241,37%:</w:t>
      </w:r>
    </w:p>
    <w:p w14:paraId="132C2AB0">
      <w:pPr>
        <w:rPr>
          <w:color w:val="000000" w:themeColor="text1"/>
          <w14:textFill>
            <w14:solidFill>
              <w14:schemeClr w14:val="tx1"/>
            </w14:solidFill>
          </w14:textFill>
        </w:rPr>
      </w:pPr>
      <w:r>
        <w:rPr>
          <w:color w:val="000000" w:themeColor="text1"/>
          <w14:textFill>
            <w14:solidFill>
              <w14:schemeClr w14:val="tx1"/>
            </w14:solidFill>
          </w14:textFill>
        </w:rPr>
        <w:t>Изменение поступлений по видам госпошлин представлено в таблице №4.</w:t>
      </w:r>
    </w:p>
    <w:p w14:paraId="6C079A11">
      <w:pPr>
        <w:ind w:firstLine="567"/>
        <w:jc w:val="right"/>
        <w:rPr>
          <w:color w:val="000000" w:themeColor="text1"/>
          <w14:textFill>
            <w14:solidFill>
              <w14:schemeClr w14:val="tx1"/>
            </w14:solidFill>
          </w14:textFill>
        </w:rPr>
      </w:pPr>
      <w:r>
        <w:rPr>
          <w:color w:val="000000" w:themeColor="text1"/>
          <w14:textFill>
            <w14:solidFill>
              <w14:schemeClr w14:val="tx1"/>
            </w14:solidFill>
          </w14:textFill>
        </w:rPr>
        <w:t>Таблица №4 (тыс. руб.)</w:t>
      </w:r>
    </w:p>
    <w:tbl>
      <w:tblPr>
        <w:tblStyle w:val="3"/>
        <w:tblW w:w="94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1559"/>
        <w:gridCol w:w="1134"/>
        <w:gridCol w:w="1418"/>
        <w:gridCol w:w="1275"/>
        <w:gridCol w:w="1525"/>
      </w:tblGrid>
      <w:tr w14:paraId="543F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567" w:type="dxa"/>
            <w:shd w:val="clear" w:color="auto" w:fill="auto"/>
            <w:noWrap/>
            <w:vAlign w:val="center"/>
          </w:tcPr>
          <w:p w14:paraId="2F8EB39A">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Наименование</w:t>
            </w:r>
          </w:p>
        </w:tc>
        <w:tc>
          <w:tcPr>
            <w:tcW w:w="1559" w:type="dxa"/>
            <w:shd w:val="clear" w:color="auto" w:fill="auto"/>
            <w:noWrap/>
            <w:vAlign w:val="center"/>
          </w:tcPr>
          <w:p w14:paraId="4BE472AE">
            <w:pPr>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Исполнение бюджета на 01.04.2024г</w:t>
            </w:r>
          </w:p>
        </w:tc>
        <w:tc>
          <w:tcPr>
            <w:tcW w:w="1134" w:type="dxa"/>
            <w:shd w:val="clear" w:color="auto" w:fill="auto"/>
            <w:noWrap/>
            <w:vAlign w:val="center"/>
          </w:tcPr>
          <w:p w14:paraId="5186C565">
            <w:pPr>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Прогноз на 2025 год</w:t>
            </w:r>
          </w:p>
        </w:tc>
        <w:tc>
          <w:tcPr>
            <w:tcW w:w="1418" w:type="dxa"/>
            <w:shd w:val="clear" w:color="auto" w:fill="auto"/>
            <w:noWrap/>
            <w:vAlign w:val="center"/>
          </w:tcPr>
          <w:p w14:paraId="13686B16">
            <w:pPr>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Исполнение на 01.04.2025г</w:t>
            </w:r>
          </w:p>
        </w:tc>
        <w:tc>
          <w:tcPr>
            <w:tcW w:w="1275" w:type="dxa"/>
            <w:shd w:val="clear" w:color="000000" w:fill="FFFFFF"/>
            <w:noWrap/>
            <w:vAlign w:val="center"/>
          </w:tcPr>
          <w:p w14:paraId="26CAAF4B">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Изменение</w:t>
            </w:r>
          </w:p>
          <w:p w14:paraId="70BE80F1">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(ст.4-ст2)</w:t>
            </w:r>
          </w:p>
        </w:tc>
        <w:tc>
          <w:tcPr>
            <w:tcW w:w="1525" w:type="dxa"/>
            <w:shd w:val="clear" w:color="auto" w:fill="auto"/>
            <w:vAlign w:val="center"/>
          </w:tcPr>
          <w:p w14:paraId="6D575D59">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Темпы роста 2025 к 2024 (%) гр.4/гр.2*100</w:t>
            </w:r>
          </w:p>
        </w:tc>
      </w:tr>
      <w:tr w14:paraId="69D8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567" w:type="dxa"/>
            <w:shd w:val="clear" w:color="auto" w:fill="auto"/>
            <w:noWrap/>
            <w:vAlign w:val="center"/>
          </w:tcPr>
          <w:p w14:paraId="1A288D17">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p>
        </w:tc>
        <w:tc>
          <w:tcPr>
            <w:tcW w:w="1559" w:type="dxa"/>
            <w:shd w:val="clear" w:color="auto" w:fill="auto"/>
            <w:noWrap/>
            <w:vAlign w:val="center"/>
          </w:tcPr>
          <w:p w14:paraId="678AE10D">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p>
        </w:tc>
        <w:tc>
          <w:tcPr>
            <w:tcW w:w="1134" w:type="dxa"/>
            <w:shd w:val="clear" w:color="auto" w:fill="auto"/>
            <w:noWrap/>
            <w:vAlign w:val="center"/>
          </w:tcPr>
          <w:p w14:paraId="68587612">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w:t>
            </w:r>
          </w:p>
        </w:tc>
        <w:tc>
          <w:tcPr>
            <w:tcW w:w="1418" w:type="dxa"/>
            <w:shd w:val="clear" w:color="auto" w:fill="auto"/>
            <w:noWrap/>
            <w:vAlign w:val="center"/>
          </w:tcPr>
          <w:p w14:paraId="28A60041">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1275" w:type="dxa"/>
            <w:shd w:val="clear" w:color="auto" w:fill="auto"/>
            <w:noWrap/>
            <w:vAlign w:val="center"/>
          </w:tcPr>
          <w:p w14:paraId="6E990805">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1525" w:type="dxa"/>
            <w:shd w:val="clear" w:color="auto" w:fill="auto"/>
            <w:noWrap/>
            <w:vAlign w:val="bottom"/>
          </w:tcPr>
          <w:p w14:paraId="5253DB13">
            <w:pPr>
              <w:jc w:val="center"/>
              <w:rPr>
                <w:rFonts w:ascii="Calibri" w:hAnsi="Calibri"/>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w:t>
            </w:r>
          </w:p>
        </w:tc>
      </w:tr>
      <w:tr w14:paraId="20F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7" w:type="dxa"/>
            <w:shd w:val="clear" w:color="auto" w:fill="auto"/>
            <w:vAlign w:val="center"/>
          </w:tcPr>
          <w:p w14:paraId="0DFC4D08">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Госпошлина по делам, рассматриваемым в судах общей юрисдикции и мировыми судьями</w:t>
            </w:r>
          </w:p>
        </w:tc>
        <w:tc>
          <w:tcPr>
            <w:tcW w:w="1559" w:type="dxa"/>
            <w:shd w:val="clear" w:color="000000" w:fill="FFFFFF"/>
            <w:noWrap/>
            <w:vAlign w:val="center"/>
          </w:tcPr>
          <w:p w14:paraId="754FF43E">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2 184,28</w:t>
            </w:r>
          </w:p>
        </w:tc>
        <w:tc>
          <w:tcPr>
            <w:tcW w:w="1134" w:type="dxa"/>
            <w:shd w:val="clear" w:color="000000" w:fill="FFFFFF"/>
            <w:noWrap/>
            <w:vAlign w:val="center"/>
          </w:tcPr>
          <w:p w14:paraId="4FE1B16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17 176,00</w:t>
            </w:r>
          </w:p>
        </w:tc>
        <w:tc>
          <w:tcPr>
            <w:tcW w:w="1418" w:type="dxa"/>
            <w:shd w:val="clear" w:color="000000" w:fill="FFFFFF"/>
            <w:noWrap/>
            <w:vAlign w:val="center"/>
          </w:tcPr>
          <w:p w14:paraId="1E61E258">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7 564,00</w:t>
            </w:r>
          </w:p>
        </w:tc>
        <w:tc>
          <w:tcPr>
            <w:tcW w:w="1275" w:type="dxa"/>
            <w:shd w:val="clear" w:color="auto" w:fill="auto"/>
            <w:vAlign w:val="center"/>
          </w:tcPr>
          <w:p w14:paraId="37BEE808">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5 379,72</w:t>
            </w:r>
          </w:p>
        </w:tc>
        <w:tc>
          <w:tcPr>
            <w:tcW w:w="1525" w:type="dxa"/>
            <w:shd w:val="clear" w:color="auto" w:fill="auto"/>
            <w:noWrap/>
            <w:vAlign w:val="center"/>
          </w:tcPr>
          <w:p w14:paraId="7DAC2B30">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346,29</w:t>
            </w:r>
          </w:p>
        </w:tc>
      </w:tr>
      <w:tr w14:paraId="09FD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67" w:type="dxa"/>
            <w:shd w:val="clear" w:color="auto" w:fill="auto"/>
            <w:vAlign w:val="center"/>
          </w:tcPr>
          <w:p w14:paraId="4566B13C">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Государственная пошлина за выдачу разрешений на установку рекламных конструкций</w:t>
            </w:r>
          </w:p>
        </w:tc>
        <w:tc>
          <w:tcPr>
            <w:tcW w:w="1559" w:type="dxa"/>
            <w:shd w:val="clear" w:color="000000" w:fill="FFFFFF"/>
            <w:noWrap/>
            <w:vAlign w:val="center"/>
          </w:tcPr>
          <w:p w14:paraId="76AC8B6E">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eastAsia="zh-CN" w:bidi="ar"/>
                <w14:textFill>
                  <w14:solidFill>
                    <w14:schemeClr w14:val="tx1"/>
                  </w14:solidFill>
                </w14:textFill>
              </w:rPr>
              <w:t xml:space="preserve"> </w:t>
            </w:r>
            <w:r>
              <w:rPr>
                <w:rFonts w:eastAsia="SimSun"/>
                <w:color w:val="000000" w:themeColor="text1"/>
                <w:sz w:val="22"/>
                <w:szCs w:val="22"/>
                <w:lang w:val="en-US" w:eastAsia="zh-CN" w:bidi="ar"/>
                <w14:textFill>
                  <w14:solidFill>
                    <w14:schemeClr w14:val="tx1"/>
                  </w14:solidFill>
                </w14:textFill>
              </w:rPr>
              <w:t>31,48</w:t>
            </w:r>
          </w:p>
        </w:tc>
        <w:tc>
          <w:tcPr>
            <w:tcW w:w="1134" w:type="dxa"/>
            <w:shd w:val="clear" w:color="000000" w:fill="FFFFFF"/>
            <w:noWrap/>
            <w:vAlign w:val="center"/>
          </w:tcPr>
          <w:p w14:paraId="5904573E">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100,00</w:t>
            </w:r>
          </w:p>
        </w:tc>
        <w:tc>
          <w:tcPr>
            <w:tcW w:w="1418" w:type="dxa"/>
            <w:shd w:val="clear" w:color="000000" w:fill="FFFFFF"/>
            <w:noWrap/>
            <w:vAlign w:val="center"/>
          </w:tcPr>
          <w:p w14:paraId="2006C0DA">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c>
          <w:tcPr>
            <w:tcW w:w="1275" w:type="dxa"/>
            <w:shd w:val="clear" w:color="auto" w:fill="auto"/>
            <w:vAlign w:val="center"/>
          </w:tcPr>
          <w:p w14:paraId="251E97FA">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- 31,48</w:t>
            </w:r>
          </w:p>
        </w:tc>
        <w:tc>
          <w:tcPr>
            <w:tcW w:w="1525" w:type="dxa"/>
            <w:shd w:val="clear" w:color="auto" w:fill="auto"/>
            <w:noWrap/>
            <w:vAlign w:val="center"/>
          </w:tcPr>
          <w:p w14:paraId="28DB0B85">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0,00</w:t>
            </w:r>
          </w:p>
        </w:tc>
      </w:tr>
      <w:tr w14:paraId="7F53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67" w:type="dxa"/>
            <w:shd w:val="clear" w:color="auto" w:fill="auto"/>
            <w:vAlign w:val="center"/>
          </w:tcPr>
          <w:p w14:paraId="40FBCC9C">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ИТОГО</w:t>
            </w:r>
          </w:p>
        </w:tc>
        <w:tc>
          <w:tcPr>
            <w:tcW w:w="1559" w:type="dxa"/>
            <w:shd w:val="clear" w:color="000000" w:fill="FFFFFF"/>
            <w:noWrap/>
            <w:vAlign w:val="center"/>
          </w:tcPr>
          <w:p w14:paraId="7AA46DE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2 215,76</w:t>
            </w:r>
          </w:p>
        </w:tc>
        <w:tc>
          <w:tcPr>
            <w:tcW w:w="1134" w:type="dxa"/>
            <w:shd w:val="clear" w:color="000000" w:fill="FFFFFF"/>
            <w:noWrap/>
            <w:vAlign w:val="center"/>
          </w:tcPr>
          <w:p w14:paraId="0428C332">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17 276,00</w:t>
            </w:r>
          </w:p>
        </w:tc>
        <w:tc>
          <w:tcPr>
            <w:tcW w:w="1418" w:type="dxa"/>
            <w:shd w:val="clear" w:color="000000" w:fill="FFFFFF"/>
            <w:noWrap/>
            <w:vAlign w:val="center"/>
          </w:tcPr>
          <w:p w14:paraId="17963BE2">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7 564,00</w:t>
            </w:r>
          </w:p>
        </w:tc>
        <w:tc>
          <w:tcPr>
            <w:tcW w:w="1275" w:type="dxa"/>
            <w:shd w:val="clear" w:color="auto" w:fill="auto"/>
            <w:vAlign w:val="center"/>
          </w:tcPr>
          <w:p w14:paraId="008A1503">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5 348,24</w:t>
            </w:r>
          </w:p>
        </w:tc>
        <w:tc>
          <w:tcPr>
            <w:tcW w:w="1525" w:type="dxa"/>
            <w:shd w:val="clear" w:color="auto" w:fill="auto"/>
            <w:noWrap/>
            <w:vAlign w:val="center"/>
          </w:tcPr>
          <w:p w14:paraId="705F929F">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341,37</w:t>
            </w:r>
          </w:p>
        </w:tc>
      </w:tr>
    </w:tbl>
    <w:p w14:paraId="35203A8A">
      <w:pPr>
        <w:ind w:firstLine="567"/>
        <w:jc w:val="right"/>
        <w:rPr>
          <w:color w:val="376092" w:themeColor="accent1" w:themeShade="BF"/>
          <w:highlight w:val="yellow"/>
        </w:rPr>
      </w:pPr>
    </w:p>
    <w:p w14:paraId="6D9C1CBF">
      <w:pPr>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Неналоговые доходы</w:t>
      </w:r>
      <w:r>
        <w:rPr>
          <w:color w:val="000000" w:themeColor="text1"/>
          <w14:textFill>
            <w14:solidFill>
              <w14:schemeClr w14:val="tx1"/>
            </w14:solidFill>
          </w14:textFill>
        </w:rPr>
        <w:t xml:space="preserve"> за 1 квартал текущего года составили </w:t>
      </w:r>
      <w:r>
        <w:rPr>
          <w:bCs/>
          <w:color w:val="000000" w:themeColor="text1"/>
          <w14:textFill>
            <w14:solidFill>
              <w14:schemeClr w14:val="tx1"/>
            </w14:solidFill>
          </w14:textFill>
        </w:rPr>
        <w:t xml:space="preserve">28531,02 </w:t>
      </w:r>
      <w:r>
        <w:rPr>
          <w:color w:val="000000" w:themeColor="text1"/>
          <w14:textFill>
            <w14:solidFill>
              <w14:schemeClr w14:val="tx1"/>
            </w14:solidFill>
          </w14:textFill>
        </w:rPr>
        <w:t>тыс. руб., доля в общей сумме доходов составляет 22,1%. В сравнении с анализируемым периодом 2024 года сумма поступлений по неналоговым доходам увеличилась на 6742,71 тыс. руб., или на 30,95%.</w:t>
      </w:r>
    </w:p>
    <w:p w14:paraId="7F5C02C8">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Структура неналоговых поступлений за 1 квартал 2025 года представлена в диаграмме №2.</w:t>
      </w:r>
    </w:p>
    <w:p w14:paraId="57A860CF">
      <w:pPr>
        <w:ind w:firstLine="567"/>
        <w:jc w:val="both"/>
        <w:rPr>
          <w:color w:val="376092" w:themeColor="accent1" w:themeShade="BF"/>
        </w:rPr>
      </w:pPr>
      <w:r>
        <w:drawing>
          <wp:inline distT="0" distB="0" distL="114300" distR="114300">
            <wp:extent cx="4857750" cy="2425065"/>
            <wp:effectExtent l="4445" t="4445" r="14605" b="889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5CF927">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Основными видами неналоговых поступлений, за счёт которых формируется бюджет района, являются доходы от оказания платных услуг 16598,32 тыс. руб. (доля в общей сумме доходов 12,9%), доходы от использования имущества 9443,11 тыс. руб. (доля в общей сумме доходов 7,3%), доходы от продажи материальных и нематериальных активов 1713,12 тыс. руб. (доля 1,3%), штрафы 559,02 тыс. руб. (доля 0,4%).</w:t>
      </w:r>
    </w:p>
    <w:p w14:paraId="597AFDAF">
      <w:pPr>
        <w:ind w:firstLine="567"/>
        <w:jc w:val="both"/>
        <w:rPr>
          <w:bCs/>
          <w:color w:val="000000" w:themeColor="text1"/>
          <w14:textFill>
            <w14:solidFill>
              <w14:schemeClr w14:val="tx1"/>
            </w14:solidFill>
          </w14:textFill>
        </w:rPr>
      </w:pPr>
      <w:r>
        <w:rPr>
          <w:bCs/>
          <w:color w:val="000000" w:themeColor="text1"/>
          <w14:textFill>
            <w14:solidFill>
              <w14:schemeClr w14:val="tx1"/>
            </w14:solidFill>
          </w14:textFill>
        </w:rPr>
        <w:t>Динамика основных неналоговых поступлений за последние 3 года (на 1 апреля каждого года) представлена на графике:</w:t>
      </w:r>
    </w:p>
    <w:p w14:paraId="15EA365B">
      <w:pPr>
        <w:ind w:firstLine="567"/>
        <w:jc w:val="both"/>
        <w:rPr>
          <w:bCs/>
          <w:color w:val="376092" w:themeColor="accent1" w:themeShade="BF"/>
        </w:rPr>
      </w:pPr>
      <w:r>
        <w:drawing>
          <wp:inline distT="0" distB="0" distL="114300" distR="114300">
            <wp:extent cx="4826000" cy="2393950"/>
            <wp:effectExtent l="4445" t="4445" r="8255" b="20955"/>
            <wp:docPr id="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61EFF">
      <w:pPr>
        <w:jc w:val="both"/>
        <w:rPr>
          <w:color w:val="376092" w:themeColor="accent1" w:themeShade="BF"/>
          <w:sz w:val="12"/>
          <w:szCs w:val="12"/>
          <w:highlight w:val="yellow"/>
        </w:rPr>
      </w:pPr>
    </w:p>
    <w:p w14:paraId="367FDA7D">
      <w:pPr>
        <w:ind w:firstLine="567"/>
        <w:jc w:val="both"/>
        <w:rPr>
          <w:color w:val="000000" w:themeColor="text1"/>
          <w14:textFill>
            <w14:solidFill>
              <w14:schemeClr w14:val="tx1"/>
            </w14:solidFill>
          </w14:textFill>
        </w:rPr>
      </w:pPr>
      <w:r>
        <w:rPr>
          <w:b/>
          <w:color w:val="000000" w:themeColor="text1"/>
          <w14:textFill>
            <w14:solidFill>
              <w14:schemeClr w14:val="tx1"/>
            </w14:solidFill>
          </w14:textFill>
        </w:rPr>
        <w:t>Безвозмездные поступления</w:t>
      </w:r>
      <w:r>
        <w:rPr>
          <w:color w:val="000000" w:themeColor="text1"/>
          <w14:textFill>
            <w14:solidFill>
              <w14:schemeClr w14:val="tx1"/>
            </w14:solidFill>
          </w14:textFill>
        </w:rPr>
        <w:t xml:space="preserve"> за 1 квартал 2025 года составили 330016,19 тыс. руб. или 29,31% к утверждённому прогнозу (1126063,24 тыс. руб.). По сравнению с аналогичным периодом 2024 года объём безвозмездных поступлений увеличился на 25812,69 тыс. руб. или на 8,49%.</w:t>
      </w:r>
    </w:p>
    <w:p w14:paraId="069EA7DB">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Безвозмездные поступления по видам представлены в таблице №5:</w:t>
      </w:r>
    </w:p>
    <w:p w14:paraId="6C0987CA">
      <w:pPr>
        <w:jc w:val="right"/>
        <w:rPr>
          <w:color w:val="376092" w:themeColor="accent1" w:themeShade="BF"/>
        </w:rPr>
      </w:pPr>
      <w:r>
        <w:rPr>
          <w:color w:val="000000" w:themeColor="text1"/>
          <w14:textFill>
            <w14:solidFill>
              <w14:schemeClr w14:val="tx1"/>
            </w14:solidFill>
          </w14:textFill>
        </w:rPr>
        <w:t>Таблица №5 (тыс. руб.)</w:t>
      </w:r>
    </w:p>
    <w:tbl>
      <w:tblPr>
        <w:tblStyle w:val="3"/>
        <w:tblW w:w="9356" w:type="dxa"/>
        <w:jc w:val="center"/>
        <w:tblLayout w:type="autofit"/>
        <w:tblCellMar>
          <w:top w:w="0" w:type="dxa"/>
          <w:left w:w="108" w:type="dxa"/>
          <w:bottom w:w="0" w:type="dxa"/>
          <w:right w:w="108" w:type="dxa"/>
        </w:tblCellMar>
      </w:tblPr>
      <w:tblGrid>
        <w:gridCol w:w="2313"/>
        <w:gridCol w:w="1487"/>
        <w:gridCol w:w="1512"/>
        <w:gridCol w:w="1487"/>
        <w:gridCol w:w="1221"/>
        <w:gridCol w:w="1336"/>
      </w:tblGrid>
      <w:tr w14:paraId="6D90E267">
        <w:tblPrEx>
          <w:tblCellMar>
            <w:top w:w="0" w:type="dxa"/>
            <w:left w:w="108" w:type="dxa"/>
            <w:bottom w:w="0" w:type="dxa"/>
            <w:right w:w="108" w:type="dxa"/>
          </w:tblCellMar>
        </w:tblPrEx>
        <w:trPr>
          <w:trHeight w:val="148" w:hRule="atLeast"/>
          <w:jc w:val="center"/>
        </w:trPr>
        <w:tc>
          <w:tcPr>
            <w:tcW w:w="23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592AD">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Наименование источника</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265D0">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Исполнение бюджета на 01.04.2024г</w:t>
            </w:r>
          </w:p>
        </w:tc>
        <w:tc>
          <w:tcPr>
            <w:tcW w:w="4220" w:type="dxa"/>
            <w:gridSpan w:val="3"/>
            <w:tcBorders>
              <w:top w:val="single" w:color="auto" w:sz="4" w:space="0"/>
              <w:left w:val="nil"/>
              <w:bottom w:val="single" w:color="auto" w:sz="4" w:space="0"/>
              <w:right w:val="single" w:color="auto" w:sz="4" w:space="0"/>
            </w:tcBorders>
            <w:shd w:val="clear" w:color="auto" w:fill="auto"/>
            <w:vAlign w:val="center"/>
          </w:tcPr>
          <w:p w14:paraId="392C6DE9">
            <w:pPr>
              <w:jc w:val="cente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2025 год</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2652A">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Темпы роста 2025 к 2024 (%) гр.4/гр.2*100</w:t>
            </w:r>
          </w:p>
        </w:tc>
      </w:tr>
      <w:tr w14:paraId="453895F1">
        <w:tblPrEx>
          <w:tblCellMar>
            <w:top w:w="0" w:type="dxa"/>
            <w:left w:w="108" w:type="dxa"/>
            <w:bottom w:w="0" w:type="dxa"/>
            <w:right w:w="108" w:type="dxa"/>
          </w:tblCellMar>
        </w:tblPrEx>
        <w:trPr>
          <w:trHeight w:val="477" w:hRule="atLeast"/>
          <w:jc w:val="center"/>
        </w:trPr>
        <w:tc>
          <w:tcPr>
            <w:tcW w:w="2313" w:type="dxa"/>
            <w:vMerge w:val="continue"/>
            <w:tcBorders>
              <w:top w:val="single" w:color="auto" w:sz="4" w:space="0"/>
              <w:left w:val="single" w:color="auto" w:sz="4" w:space="0"/>
              <w:bottom w:val="single" w:color="auto" w:sz="4" w:space="0"/>
              <w:right w:val="single" w:color="auto" w:sz="4" w:space="0"/>
            </w:tcBorders>
            <w:vAlign w:val="center"/>
          </w:tcPr>
          <w:p w14:paraId="11B55209">
            <w:pPr>
              <w:rPr>
                <w:color w:val="000000" w:themeColor="text1"/>
                <w:sz w:val="20"/>
                <w:szCs w:val="20"/>
                <w14:textFill>
                  <w14:solidFill>
                    <w14:schemeClr w14:val="tx1"/>
                  </w14:solidFill>
                </w14:textFill>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14:paraId="22362BC5">
            <w:pPr>
              <w:rPr>
                <w:color w:val="000000" w:themeColor="text1"/>
                <w:sz w:val="20"/>
                <w:szCs w:val="20"/>
                <w14:textFill>
                  <w14:solidFill>
                    <w14:schemeClr w14:val="tx1"/>
                  </w14:solidFill>
                </w14:textFill>
              </w:rPr>
            </w:pPr>
          </w:p>
        </w:tc>
        <w:tc>
          <w:tcPr>
            <w:tcW w:w="1512" w:type="dxa"/>
            <w:tcBorders>
              <w:top w:val="nil"/>
              <w:left w:val="nil"/>
              <w:bottom w:val="single" w:color="auto" w:sz="4" w:space="0"/>
              <w:right w:val="single" w:color="auto" w:sz="4" w:space="0"/>
            </w:tcBorders>
            <w:shd w:val="clear" w:color="auto" w:fill="auto"/>
            <w:vAlign w:val="center"/>
          </w:tcPr>
          <w:p w14:paraId="6687D6D0">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Прогноз</w:t>
            </w:r>
          </w:p>
        </w:tc>
        <w:tc>
          <w:tcPr>
            <w:tcW w:w="1487" w:type="dxa"/>
            <w:tcBorders>
              <w:top w:val="nil"/>
              <w:left w:val="nil"/>
              <w:bottom w:val="single" w:color="auto" w:sz="4" w:space="0"/>
              <w:right w:val="single" w:color="auto" w:sz="4" w:space="0"/>
            </w:tcBorders>
            <w:shd w:val="clear" w:color="auto" w:fill="auto"/>
            <w:vAlign w:val="center"/>
          </w:tcPr>
          <w:p w14:paraId="04ED0165">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Исполнение на 01.04.2025г </w:t>
            </w:r>
          </w:p>
        </w:tc>
        <w:tc>
          <w:tcPr>
            <w:tcW w:w="1221" w:type="dxa"/>
            <w:tcBorders>
              <w:top w:val="nil"/>
              <w:left w:val="nil"/>
              <w:bottom w:val="single" w:color="auto" w:sz="4" w:space="0"/>
              <w:right w:val="single" w:color="auto" w:sz="4" w:space="0"/>
            </w:tcBorders>
            <w:shd w:val="clear" w:color="auto" w:fill="auto"/>
            <w:vAlign w:val="center"/>
          </w:tcPr>
          <w:p w14:paraId="366688F7">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исполнения</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0AF01BDA">
            <w:pPr>
              <w:rPr>
                <w:color w:val="000000" w:themeColor="text1"/>
                <w:sz w:val="20"/>
                <w:szCs w:val="20"/>
                <w14:textFill>
                  <w14:solidFill>
                    <w14:schemeClr w14:val="tx1"/>
                  </w14:solidFill>
                </w14:textFill>
              </w:rPr>
            </w:pPr>
          </w:p>
        </w:tc>
      </w:tr>
      <w:tr w14:paraId="5B852946">
        <w:tblPrEx>
          <w:tblCellMar>
            <w:top w:w="0" w:type="dxa"/>
            <w:left w:w="108" w:type="dxa"/>
            <w:bottom w:w="0" w:type="dxa"/>
            <w:right w:w="108" w:type="dxa"/>
          </w:tblCellMar>
        </w:tblPrEx>
        <w:trPr>
          <w:trHeight w:val="7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8ED6003">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1487" w:type="dxa"/>
            <w:tcBorders>
              <w:top w:val="single" w:color="auto" w:sz="4" w:space="0"/>
              <w:left w:val="single" w:color="auto" w:sz="4" w:space="0"/>
              <w:bottom w:val="single" w:color="auto" w:sz="4" w:space="0"/>
              <w:right w:val="single" w:color="auto" w:sz="4" w:space="0"/>
            </w:tcBorders>
            <w:vAlign w:val="center"/>
          </w:tcPr>
          <w:p w14:paraId="600641E2">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127C4C4">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255B5AF1">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3AB270E7">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1336" w:type="dxa"/>
            <w:tcBorders>
              <w:top w:val="single" w:color="auto" w:sz="4" w:space="0"/>
              <w:left w:val="single" w:color="auto" w:sz="4" w:space="0"/>
              <w:bottom w:val="single" w:color="auto" w:sz="4" w:space="0"/>
              <w:right w:val="single" w:color="auto" w:sz="4" w:space="0"/>
            </w:tcBorders>
            <w:vAlign w:val="center"/>
          </w:tcPr>
          <w:p w14:paraId="70DDD014">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r>
      <w:tr w14:paraId="08423B00">
        <w:tblPrEx>
          <w:tblCellMar>
            <w:top w:w="0" w:type="dxa"/>
            <w:left w:w="108" w:type="dxa"/>
            <w:bottom w:w="0" w:type="dxa"/>
            <w:right w:w="108" w:type="dxa"/>
          </w:tblCellMar>
        </w:tblPrEx>
        <w:trPr>
          <w:trHeight w:val="572"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10991251">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Безвозмездные поступления, в том числе</w:t>
            </w:r>
          </w:p>
        </w:tc>
        <w:tc>
          <w:tcPr>
            <w:tcW w:w="1487" w:type="dxa"/>
            <w:tcBorders>
              <w:top w:val="single" w:color="auto" w:sz="4" w:space="0"/>
              <w:left w:val="nil"/>
              <w:bottom w:val="single" w:color="auto" w:sz="4" w:space="0"/>
              <w:right w:val="single" w:color="auto" w:sz="4" w:space="0"/>
            </w:tcBorders>
            <w:shd w:val="clear" w:color="auto" w:fill="auto"/>
            <w:vAlign w:val="center"/>
          </w:tcPr>
          <w:p w14:paraId="7D425CC3">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304 203,50</w:t>
            </w:r>
          </w:p>
        </w:tc>
        <w:tc>
          <w:tcPr>
            <w:tcW w:w="1512" w:type="dxa"/>
            <w:tcBorders>
              <w:top w:val="single" w:color="auto" w:sz="4" w:space="0"/>
              <w:left w:val="nil"/>
              <w:bottom w:val="single" w:color="auto" w:sz="4" w:space="0"/>
              <w:right w:val="single" w:color="auto" w:sz="4" w:space="0"/>
            </w:tcBorders>
            <w:shd w:val="clear" w:color="auto" w:fill="auto"/>
            <w:vAlign w:val="center"/>
          </w:tcPr>
          <w:p w14:paraId="462F114C">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1126 063,24</w:t>
            </w:r>
          </w:p>
        </w:tc>
        <w:tc>
          <w:tcPr>
            <w:tcW w:w="1487" w:type="dxa"/>
            <w:tcBorders>
              <w:top w:val="single" w:color="auto" w:sz="4" w:space="0"/>
              <w:left w:val="nil"/>
              <w:bottom w:val="single" w:color="auto" w:sz="4" w:space="0"/>
              <w:right w:val="single" w:color="auto" w:sz="4" w:space="0"/>
            </w:tcBorders>
            <w:shd w:val="clear" w:color="auto" w:fill="auto"/>
            <w:vAlign w:val="center"/>
          </w:tcPr>
          <w:p w14:paraId="04323490">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330 016,19</w:t>
            </w:r>
          </w:p>
        </w:tc>
        <w:tc>
          <w:tcPr>
            <w:tcW w:w="1221" w:type="dxa"/>
            <w:tcBorders>
              <w:top w:val="single" w:color="auto" w:sz="4" w:space="0"/>
              <w:left w:val="nil"/>
              <w:bottom w:val="single" w:color="auto" w:sz="4" w:space="0"/>
              <w:right w:val="single" w:color="auto" w:sz="4" w:space="0"/>
            </w:tcBorders>
            <w:shd w:val="clear" w:color="auto" w:fill="auto"/>
            <w:noWrap/>
            <w:vAlign w:val="center"/>
          </w:tcPr>
          <w:p w14:paraId="36B40B38">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29,31</w:t>
            </w:r>
          </w:p>
        </w:tc>
        <w:tc>
          <w:tcPr>
            <w:tcW w:w="1336" w:type="dxa"/>
            <w:tcBorders>
              <w:top w:val="single" w:color="auto" w:sz="4" w:space="0"/>
              <w:left w:val="nil"/>
              <w:bottom w:val="single" w:color="auto" w:sz="4" w:space="0"/>
              <w:right w:val="single" w:color="auto" w:sz="4" w:space="0"/>
            </w:tcBorders>
            <w:shd w:val="clear" w:color="auto" w:fill="auto"/>
            <w:noWrap/>
            <w:vAlign w:val="center"/>
          </w:tcPr>
          <w:p w14:paraId="45B36C08">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108,49</w:t>
            </w:r>
          </w:p>
        </w:tc>
      </w:tr>
      <w:tr w14:paraId="21701381">
        <w:tblPrEx>
          <w:tblCellMar>
            <w:top w:w="0" w:type="dxa"/>
            <w:left w:w="108" w:type="dxa"/>
            <w:bottom w:w="0" w:type="dxa"/>
            <w:right w:w="108" w:type="dxa"/>
          </w:tblCellMar>
        </w:tblPrEx>
        <w:trPr>
          <w:trHeight w:val="300"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049FFE42">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дотации</w:t>
            </w:r>
          </w:p>
        </w:tc>
        <w:tc>
          <w:tcPr>
            <w:tcW w:w="1487" w:type="dxa"/>
            <w:tcBorders>
              <w:top w:val="nil"/>
              <w:left w:val="nil"/>
              <w:bottom w:val="single" w:color="auto" w:sz="4" w:space="0"/>
              <w:right w:val="single" w:color="auto" w:sz="4" w:space="0"/>
            </w:tcBorders>
            <w:shd w:val="clear" w:color="auto" w:fill="auto"/>
            <w:vAlign w:val="center"/>
          </w:tcPr>
          <w:p w14:paraId="488C60C0">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12 437,70</w:t>
            </w:r>
          </w:p>
        </w:tc>
        <w:tc>
          <w:tcPr>
            <w:tcW w:w="1512" w:type="dxa"/>
            <w:tcBorders>
              <w:top w:val="nil"/>
              <w:left w:val="nil"/>
              <w:bottom w:val="single" w:color="auto" w:sz="4" w:space="0"/>
              <w:right w:val="single" w:color="auto" w:sz="4" w:space="0"/>
            </w:tcBorders>
            <w:shd w:val="clear" w:color="auto" w:fill="auto"/>
            <w:vAlign w:val="center"/>
          </w:tcPr>
          <w:p w14:paraId="64B258A3">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47 549,2</w:t>
            </w:r>
          </w:p>
        </w:tc>
        <w:tc>
          <w:tcPr>
            <w:tcW w:w="1487" w:type="dxa"/>
            <w:tcBorders>
              <w:top w:val="nil"/>
              <w:left w:val="nil"/>
              <w:bottom w:val="single" w:color="auto" w:sz="4" w:space="0"/>
              <w:right w:val="single" w:color="auto" w:sz="4" w:space="0"/>
            </w:tcBorders>
            <w:shd w:val="clear" w:color="auto" w:fill="auto"/>
            <w:vAlign w:val="center"/>
          </w:tcPr>
          <w:p w14:paraId="1431B01F">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11 887,20</w:t>
            </w:r>
          </w:p>
        </w:tc>
        <w:tc>
          <w:tcPr>
            <w:tcW w:w="1221" w:type="dxa"/>
            <w:tcBorders>
              <w:top w:val="nil"/>
              <w:left w:val="nil"/>
              <w:bottom w:val="single" w:color="auto" w:sz="4" w:space="0"/>
              <w:right w:val="single" w:color="auto" w:sz="4" w:space="0"/>
            </w:tcBorders>
            <w:shd w:val="clear" w:color="auto" w:fill="auto"/>
            <w:noWrap/>
            <w:vAlign w:val="center"/>
          </w:tcPr>
          <w:p w14:paraId="7CCBEF96">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25,00</w:t>
            </w:r>
          </w:p>
        </w:tc>
        <w:tc>
          <w:tcPr>
            <w:tcW w:w="1336" w:type="dxa"/>
            <w:tcBorders>
              <w:top w:val="nil"/>
              <w:left w:val="nil"/>
              <w:bottom w:val="single" w:color="auto" w:sz="4" w:space="0"/>
              <w:right w:val="single" w:color="auto" w:sz="4" w:space="0"/>
            </w:tcBorders>
            <w:shd w:val="clear" w:color="auto" w:fill="auto"/>
            <w:noWrap/>
            <w:vAlign w:val="center"/>
          </w:tcPr>
          <w:p w14:paraId="5DA4294A">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95,57</w:t>
            </w:r>
          </w:p>
        </w:tc>
      </w:tr>
      <w:tr w14:paraId="72759AD1">
        <w:tblPrEx>
          <w:tblCellMar>
            <w:top w:w="0" w:type="dxa"/>
            <w:left w:w="108" w:type="dxa"/>
            <w:bottom w:w="0" w:type="dxa"/>
            <w:right w:w="108" w:type="dxa"/>
          </w:tblCellMar>
        </w:tblPrEx>
        <w:trPr>
          <w:trHeight w:val="293"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68C42148">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субсидии</w:t>
            </w:r>
          </w:p>
        </w:tc>
        <w:tc>
          <w:tcPr>
            <w:tcW w:w="1487" w:type="dxa"/>
            <w:tcBorders>
              <w:top w:val="nil"/>
              <w:left w:val="nil"/>
              <w:bottom w:val="single" w:color="auto" w:sz="4" w:space="0"/>
              <w:right w:val="single" w:color="auto" w:sz="4" w:space="0"/>
            </w:tcBorders>
            <w:shd w:val="clear" w:color="auto" w:fill="auto"/>
            <w:vAlign w:val="center"/>
          </w:tcPr>
          <w:p w14:paraId="32F652EA">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9 214,03</w:t>
            </w:r>
          </w:p>
        </w:tc>
        <w:tc>
          <w:tcPr>
            <w:tcW w:w="1512" w:type="dxa"/>
            <w:tcBorders>
              <w:top w:val="nil"/>
              <w:left w:val="nil"/>
              <w:bottom w:val="single" w:color="auto" w:sz="4" w:space="0"/>
              <w:right w:val="single" w:color="auto" w:sz="4" w:space="0"/>
            </w:tcBorders>
            <w:shd w:val="clear" w:color="auto" w:fill="auto"/>
            <w:vAlign w:val="center"/>
          </w:tcPr>
          <w:p w14:paraId="0C78BFEF">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134 484,1</w:t>
            </w:r>
          </w:p>
        </w:tc>
        <w:tc>
          <w:tcPr>
            <w:tcW w:w="1487" w:type="dxa"/>
            <w:tcBorders>
              <w:top w:val="nil"/>
              <w:left w:val="nil"/>
              <w:bottom w:val="single" w:color="auto" w:sz="4" w:space="0"/>
              <w:right w:val="single" w:color="auto" w:sz="4" w:space="0"/>
            </w:tcBorders>
            <w:shd w:val="clear" w:color="auto" w:fill="auto"/>
            <w:vAlign w:val="center"/>
          </w:tcPr>
          <w:p w14:paraId="1385470D">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8 691,27</w:t>
            </w:r>
          </w:p>
        </w:tc>
        <w:tc>
          <w:tcPr>
            <w:tcW w:w="1221" w:type="dxa"/>
            <w:tcBorders>
              <w:top w:val="nil"/>
              <w:left w:val="nil"/>
              <w:bottom w:val="single" w:color="auto" w:sz="4" w:space="0"/>
              <w:right w:val="single" w:color="auto" w:sz="4" w:space="0"/>
            </w:tcBorders>
            <w:shd w:val="clear" w:color="auto" w:fill="auto"/>
            <w:noWrap/>
            <w:vAlign w:val="center"/>
          </w:tcPr>
          <w:p w14:paraId="46DED161">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6,46</w:t>
            </w:r>
          </w:p>
        </w:tc>
        <w:tc>
          <w:tcPr>
            <w:tcW w:w="1336" w:type="dxa"/>
            <w:tcBorders>
              <w:top w:val="nil"/>
              <w:left w:val="nil"/>
              <w:bottom w:val="single" w:color="auto" w:sz="4" w:space="0"/>
              <w:right w:val="single" w:color="auto" w:sz="4" w:space="0"/>
            </w:tcBorders>
            <w:shd w:val="clear" w:color="auto" w:fill="auto"/>
            <w:noWrap/>
            <w:vAlign w:val="center"/>
          </w:tcPr>
          <w:p w14:paraId="173A3B3C">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94,33</w:t>
            </w:r>
          </w:p>
        </w:tc>
      </w:tr>
      <w:tr w14:paraId="24CB8FC0">
        <w:tblPrEx>
          <w:tblCellMar>
            <w:top w:w="0" w:type="dxa"/>
            <w:left w:w="108" w:type="dxa"/>
            <w:bottom w:w="0" w:type="dxa"/>
            <w:right w:w="108" w:type="dxa"/>
          </w:tblCellMar>
        </w:tblPrEx>
        <w:trPr>
          <w:trHeight w:val="300"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490D50D6">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субвенции</w:t>
            </w:r>
          </w:p>
        </w:tc>
        <w:tc>
          <w:tcPr>
            <w:tcW w:w="1487" w:type="dxa"/>
            <w:tcBorders>
              <w:top w:val="nil"/>
              <w:left w:val="nil"/>
              <w:bottom w:val="single" w:color="auto" w:sz="4" w:space="0"/>
              <w:right w:val="single" w:color="auto" w:sz="4" w:space="0"/>
            </w:tcBorders>
            <w:shd w:val="clear" w:color="auto" w:fill="auto"/>
            <w:vAlign w:val="center"/>
          </w:tcPr>
          <w:p w14:paraId="0A7A0A0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170 453,30</w:t>
            </w:r>
          </w:p>
        </w:tc>
        <w:tc>
          <w:tcPr>
            <w:tcW w:w="1512" w:type="dxa"/>
            <w:tcBorders>
              <w:top w:val="nil"/>
              <w:left w:val="nil"/>
              <w:bottom w:val="single" w:color="auto" w:sz="4" w:space="0"/>
              <w:right w:val="single" w:color="auto" w:sz="4" w:space="0"/>
            </w:tcBorders>
            <w:shd w:val="clear" w:color="auto" w:fill="auto"/>
            <w:vAlign w:val="center"/>
          </w:tcPr>
          <w:p w14:paraId="44F2BE4A">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795 579,9</w:t>
            </w:r>
          </w:p>
        </w:tc>
        <w:tc>
          <w:tcPr>
            <w:tcW w:w="1487" w:type="dxa"/>
            <w:tcBorders>
              <w:top w:val="nil"/>
              <w:left w:val="nil"/>
              <w:bottom w:val="single" w:color="auto" w:sz="4" w:space="0"/>
              <w:right w:val="single" w:color="auto" w:sz="4" w:space="0"/>
            </w:tcBorders>
            <w:shd w:val="clear" w:color="auto" w:fill="auto"/>
            <w:vAlign w:val="center"/>
          </w:tcPr>
          <w:p w14:paraId="2B405103">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206 331,48</w:t>
            </w:r>
          </w:p>
        </w:tc>
        <w:tc>
          <w:tcPr>
            <w:tcW w:w="1221" w:type="dxa"/>
            <w:tcBorders>
              <w:top w:val="nil"/>
              <w:left w:val="nil"/>
              <w:bottom w:val="single" w:color="auto" w:sz="4" w:space="0"/>
              <w:right w:val="single" w:color="auto" w:sz="4" w:space="0"/>
            </w:tcBorders>
            <w:shd w:val="clear" w:color="auto" w:fill="auto"/>
            <w:noWrap/>
            <w:vAlign w:val="center"/>
          </w:tcPr>
          <w:p w14:paraId="2EE7A48A">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25,93</w:t>
            </w:r>
          </w:p>
        </w:tc>
        <w:tc>
          <w:tcPr>
            <w:tcW w:w="1336" w:type="dxa"/>
            <w:tcBorders>
              <w:top w:val="nil"/>
              <w:left w:val="nil"/>
              <w:bottom w:val="single" w:color="auto" w:sz="4" w:space="0"/>
              <w:right w:val="single" w:color="auto" w:sz="4" w:space="0"/>
            </w:tcBorders>
            <w:shd w:val="clear" w:color="auto" w:fill="auto"/>
            <w:noWrap/>
            <w:vAlign w:val="center"/>
          </w:tcPr>
          <w:p w14:paraId="726CC81E">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121,05</w:t>
            </w:r>
          </w:p>
        </w:tc>
      </w:tr>
      <w:tr w14:paraId="5C0BB55B">
        <w:tblPrEx>
          <w:tblCellMar>
            <w:top w:w="0" w:type="dxa"/>
            <w:left w:w="108" w:type="dxa"/>
            <w:bottom w:w="0" w:type="dxa"/>
            <w:right w:w="108" w:type="dxa"/>
          </w:tblCellMar>
        </w:tblPrEx>
        <w:trPr>
          <w:trHeight w:val="368"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03EE0A43">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иные межбюджетные трансферты</w:t>
            </w:r>
          </w:p>
        </w:tc>
        <w:tc>
          <w:tcPr>
            <w:tcW w:w="1487" w:type="dxa"/>
            <w:tcBorders>
              <w:top w:val="nil"/>
              <w:left w:val="nil"/>
              <w:bottom w:val="single" w:color="auto" w:sz="4" w:space="0"/>
              <w:right w:val="single" w:color="auto" w:sz="4" w:space="0"/>
            </w:tcBorders>
            <w:shd w:val="clear" w:color="auto" w:fill="auto"/>
            <w:vAlign w:val="center"/>
          </w:tcPr>
          <w:p w14:paraId="609BC00D">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111 594,00</w:t>
            </w:r>
          </w:p>
        </w:tc>
        <w:tc>
          <w:tcPr>
            <w:tcW w:w="1512" w:type="dxa"/>
            <w:tcBorders>
              <w:top w:val="nil"/>
              <w:left w:val="nil"/>
              <w:bottom w:val="single" w:color="auto" w:sz="4" w:space="0"/>
              <w:right w:val="single" w:color="auto" w:sz="4" w:space="0"/>
            </w:tcBorders>
            <w:shd w:val="clear" w:color="auto" w:fill="auto"/>
            <w:vAlign w:val="center"/>
          </w:tcPr>
          <w:p w14:paraId="3EDDA4D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145 940,7</w:t>
            </w:r>
          </w:p>
        </w:tc>
        <w:tc>
          <w:tcPr>
            <w:tcW w:w="1487" w:type="dxa"/>
            <w:tcBorders>
              <w:top w:val="nil"/>
              <w:left w:val="nil"/>
              <w:bottom w:val="single" w:color="auto" w:sz="4" w:space="0"/>
              <w:right w:val="single" w:color="auto" w:sz="4" w:space="0"/>
            </w:tcBorders>
            <w:shd w:val="clear" w:color="auto" w:fill="auto"/>
            <w:vAlign w:val="center"/>
          </w:tcPr>
          <w:p w14:paraId="43DA178C">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102 139,62</w:t>
            </w:r>
          </w:p>
        </w:tc>
        <w:tc>
          <w:tcPr>
            <w:tcW w:w="1221" w:type="dxa"/>
            <w:tcBorders>
              <w:top w:val="nil"/>
              <w:left w:val="nil"/>
              <w:bottom w:val="single" w:color="auto" w:sz="4" w:space="0"/>
              <w:right w:val="single" w:color="auto" w:sz="4" w:space="0"/>
            </w:tcBorders>
            <w:shd w:val="clear" w:color="auto" w:fill="auto"/>
            <w:noWrap/>
            <w:vAlign w:val="center"/>
          </w:tcPr>
          <w:p w14:paraId="42D91035">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69,99</w:t>
            </w:r>
          </w:p>
        </w:tc>
        <w:tc>
          <w:tcPr>
            <w:tcW w:w="1336" w:type="dxa"/>
            <w:tcBorders>
              <w:top w:val="nil"/>
              <w:left w:val="nil"/>
              <w:bottom w:val="single" w:color="auto" w:sz="4" w:space="0"/>
              <w:right w:val="single" w:color="auto" w:sz="4" w:space="0"/>
            </w:tcBorders>
            <w:shd w:val="clear" w:color="auto" w:fill="auto"/>
            <w:noWrap/>
            <w:vAlign w:val="center"/>
          </w:tcPr>
          <w:p w14:paraId="605B11D7">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91,53</w:t>
            </w:r>
          </w:p>
        </w:tc>
      </w:tr>
      <w:tr w14:paraId="11C76269">
        <w:tblPrEx>
          <w:tblCellMar>
            <w:top w:w="0" w:type="dxa"/>
            <w:left w:w="108" w:type="dxa"/>
            <w:bottom w:w="0" w:type="dxa"/>
            <w:right w:w="108" w:type="dxa"/>
          </w:tblCellMar>
        </w:tblPrEx>
        <w:trPr>
          <w:trHeight w:val="600"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73004A7E">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прочие безвозмездные поступления от государственных организаций</w:t>
            </w:r>
          </w:p>
        </w:tc>
        <w:tc>
          <w:tcPr>
            <w:tcW w:w="1487" w:type="dxa"/>
            <w:tcBorders>
              <w:top w:val="nil"/>
              <w:left w:val="nil"/>
              <w:bottom w:val="single" w:color="auto" w:sz="4" w:space="0"/>
              <w:right w:val="single" w:color="auto" w:sz="4" w:space="0"/>
            </w:tcBorders>
            <w:shd w:val="clear" w:color="auto" w:fill="auto"/>
            <w:vAlign w:val="center"/>
          </w:tcPr>
          <w:p w14:paraId="33D1D24F">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665,36</w:t>
            </w:r>
          </w:p>
        </w:tc>
        <w:tc>
          <w:tcPr>
            <w:tcW w:w="1512" w:type="dxa"/>
            <w:tcBorders>
              <w:top w:val="nil"/>
              <w:left w:val="nil"/>
              <w:bottom w:val="single" w:color="auto" w:sz="4" w:space="0"/>
              <w:right w:val="single" w:color="auto" w:sz="4" w:space="0"/>
            </w:tcBorders>
            <w:shd w:val="clear" w:color="auto" w:fill="auto"/>
            <w:vAlign w:val="center"/>
          </w:tcPr>
          <w:p w14:paraId="3E1684CE">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2 461,4</w:t>
            </w:r>
          </w:p>
        </w:tc>
        <w:tc>
          <w:tcPr>
            <w:tcW w:w="1487" w:type="dxa"/>
            <w:tcBorders>
              <w:top w:val="nil"/>
              <w:left w:val="nil"/>
              <w:bottom w:val="single" w:color="auto" w:sz="4" w:space="0"/>
              <w:right w:val="single" w:color="auto" w:sz="4" w:space="0"/>
            </w:tcBorders>
            <w:shd w:val="clear" w:color="auto" w:fill="auto"/>
            <w:vAlign w:val="center"/>
          </w:tcPr>
          <w:p w14:paraId="4FD4BC1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940,60</w:t>
            </w:r>
          </w:p>
        </w:tc>
        <w:tc>
          <w:tcPr>
            <w:tcW w:w="1221" w:type="dxa"/>
            <w:tcBorders>
              <w:top w:val="nil"/>
              <w:left w:val="nil"/>
              <w:bottom w:val="single" w:color="auto" w:sz="4" w:space="0"/>
              <w:right w:val="single" w:color="auto" w:sz="4" w:space="0"/>
            </w:tcBorders>
            <w:shd w:val="clear" w:color="auto" w:fill="auto"/>
            <w:noWrap/>
            <w:vAlign w:val="center"/>
          </w:tcPr>
          <w:p w14:paraId="64E577B2">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38,21</w:t>
            </w:r>
          </w:p>
        </w:tc>
        <w:tc>
          <w:tcPr>
            <w:tcW w:w="1336" w:type="dxa"/>
            <w:tcBorders>
              <w:top w:val="nil"/>
              <w:left w:val="nil"/>
              <w:bottom w:val="single" w:color="auto" w:sz="4" w:space="0"/>
              <w:right w:val="single" w:color="auto" w:sz="4" w:space="0"/>
            </w:tcBorders>
            <w:shd w:val="clear" w:color="auto" w:fill="auto"/>
            <w:noWrap/>
            <w:vAlign w:val="center"/>
          </w:tcPr>
          <w:p w14:paraId="5346634F">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141,37</w:t>
            </w:r>
          </w:p>
        </w:tc>
      </w:tr>
      <w:tr w14:paraId="379F12A3">
        <w:tblPrEx>
          <w:tblCellMar>
            <w:top w:w="0" w:type="dxa"/>
            <w:left w:w="108" w:type="dxa"/>
            <w:bottom w:w="0" w:type="dxa"/>
            <w:right w:w="108" w:type="dxa"/>
          </w:tblCellMar>
        </w:tblPrEx>
        <w:trPr>
          <w:trHeight w:val="555"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1BF1D35E">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прочие безвозмездные поступления в бюджет</w:t>
            </w:r>
          </w:p>
        </w:tc>
        <w:tc>
          <w:tcPr>
            <w:tcW w:w="1487" w:type="dxa"/>
            <w:tcBorders>
              <w:top w:val="nil"/>
              <w:left w:val="nil"/>
              <w:bottom w:val="single" w:color="auto" w:sz="4" w:space="0"/>
              <w:right w:val="single" w:color="auto" w:sz="4" w:space="0"/>
            </w:tcBorders>
            <w:shd w:val="clear" w:color="auto" w:fill="auto"/>
            <w:vAlign w:val="center"/>
          </w:tcPr>
          <w:p w14:paraId="16C8C5C9">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-65,87</w:t>
            </w:r>
          </w:p>
        </w:tc>
        <w:tc>
          <w:tcPr>
            <w:tcW w:w="1512" w:type="dxa"/>
            <w:tcBorders>
              <w:top w:val="nil"/>
              <w:left w:val="nil"/>
              <w:bottom w:val="single" w:color="auto" w:sz="4" w:space="0"/>
              <w:right w:val="single" w:color="auto" w:sz="4" w:space="0"/>
            </w:tcBorders>
            <w:shd w:val="clear" w:color="auto" w:fill="auto"/>
            <w:vAlign w:val="center"/>
          </w:tcPr>
          <w:p w14:paraId="71A0FE4F">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w:t>
            </w:r>
          </w:p>
        </w:tc>
        <w:tc>
          <w:tcPr>
            <w:tcW w:w="1487" w:type="dxa"/>
            <w:tcBorders>
              <w:top w:val="nil"/>
              <w:left w:val="nil"/>
              <w:bottom w:val="single" w:color="auto" w:sz="4" w:space="0"/>
              <w:right w:val="single" w:color="auto" w:sz="4" w:space="0"/>
            </w:tcBorders>
            <w:shd w:val="clear" w:color="auto" w:fill="auto"/>
            <w:vAlign w:val="center"/>
          </w:tcPr>
          <w:p w14:paraId="08919957">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c>
          <w:tcPr>
            <w:tcW w:w="1221" w:type="dxa"/>
            <w:tcBorders>
              <w:top w:val="nil"/>
              <w:left w:val="nil"/>
              <w:bottom w:val="single" w:color="auto" w:sz="4" w:space="0"/>
              <w:right w:val="single" w:color="auto" w:sz="4" w:space="0"/>
            </w:tcBorders>
            <w:shd w:val="clear" w:color="auto" w:fill="auto"/>
            <w:noWrap/>
            <w:vAlign w:val="center"/>
          </w:tcPr>
          <w:p w14:paraId="2143A857">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х</w:t>
            </w:r>
          </w:p>
        </w:tc>
        <w:tc>
          <w:tcPr>
            <w:tcW w:w="1336" w:type="dxa"/>
            <w:tcBorders>
              <w:top w:val="nil"/>
              <w:left w:val="nil"/>
              <w:bottom w:val="single" w:color="auto" w:sz="4" w:space="0"/>
              <w:right w:val="single" w:color="auto" w:sz="4" w:space="0"/>
            </w:tcBorders>
            <w:shd w:val="clear" w:color="auto" w:fill="auto"/>
            <w:noWrap/>
            <w:vAlign w:val="center"/>
          </w:tcPr>
          <w:p w14:paraId="4877A602">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0,00</w:t>
            </w:r>
          </w:p>
        </w:tc>
      </w:tr>
      <w:tr w14:paraId="7AA9A10F">
        <w:tblPrEx>
          <w:tblCellMar>
            <w:top w:w="0" w:type="dxa"/>
            <w:left w:w="108" w:type="dxa"/>
            <w:bottom w:w="0" w:type="dxa"/>
            <w:right w:w="108" w:type="dxa"/>
          </w:tblCellMar>
        </w:tblPrEx>
        <w:trPr>
          <w:trHeight w:val="300"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69743E20">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доходы от возврата остатков</w:t>
            </w:r>
          </w:p>
        </w:tc>
        <w:tc>
          <w:tcPr>
            <w:tcW w:w="1487" w:type="dxa"/>
            <w:tcBorders>
              <w:top w:val="nil"/>
              <w:left w:val="nil"/>
              <w:bottom w:val="single" w:color="auto" w:sz="4" w:space="0"/>
              <w:right w:val="single" w:color="auto" w:sz="4" w:space="0"/>
            </w:tcBorders>
            <w:shd w:val="clear" w:color="auto" w:fill="auto"/>
            <w:vAlign w:val="center"/>
          </w:tcPr>
          <w:p w14:paraId="7D5DAA6A">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2 278,32</w:t>
            </w:r>
          </w:p>
        </w:tc>
        <w:tc>
          <w:tcPr>
            <w:tcW w:w="1512" w:type="dxa"/>
            <w:tcBorders>
              <w:top w:val="nil"/>
              <w:left w:val="nil"/>
              <w:bottom w:val="single" w:color="auto" w:sz="4" w:space="0"/>
              <w:right w:val="single" w:color="auto" w:sz="4" w:space="0"/>
            </w:tcBorders>
            <w:shd w:val="clear" w:color="auto" w:fill="auto"/>
            <w:vAlign w:val="center"/>
          </w:tcPr>
          <w:p w14:paraId="60966787">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5 803,4</w:t>
            </w:r>
          </w:p>
        </w:tc>
        <w:tc>
          <w:tcPr>
            <w:tcW w:w="1487" w:type="dxa"/>
            <w:tcBorders>
              <w:top w:val="nil"/>
              <w:left w:val="nil"/>
              <w:bottom w:val="single" w:color="auto" w:sz="4" w:space="0"/>
              <w:right w:val="single" w:color="auto" w:sz="4" w:space="0"/>
            </w:tcBorders>
            <w:shd w:val="clear" w:color="auto" w:fill="auto"/>
            <w:vAlign w:val="center"/>
          </w:tcPr>
          <w:p w14:paraId="3A0020F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5 803,44</w:t>
            </w:r>
          </w:p>
        </w:tc>
        <w:tc>
          <w:tcPr>
            <w:tcW w:w="1221" w:type="dxa"/>
            <w:tcBorders>
              <w:top w:val="nil"/>
              <w:left w:val="nil"/>
              <w:bottom w:val="single" w:color="auto" w:sz="4" w:space="0"/>
              <w:right w:val="single" w:color="auto" w:sz="4" w:space="0"/>
            </w:tcBorders>
            <w:shd w:val="clear" w:color="auto" w:fill="auto"/>
            <w:noWrap/>
            <w:vAlign w:val="center"/>
          </w:tcPr>
          <w:p w14:paraId="273785F4">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100,00</w:t>
            </w:r>
          </w:p>
        </w:tc>
        <w:tc>
          <w:tcPr>
            <w:tcW w:w="1336" w:type="dxa"/>
            <w:tcBorders>
              <w:top w:val="nil"/>
              <w:left w:val="nil"/>
              <w:bottom w:val="single" w:color="auto" w:sz="4" w:space="0"/>
              <w:right w:val="single" w:color="auto" w:sz="4" w:space="0"/>
            </w:tcBorders>
            <w:shd w:val="clear" w:color="auto" w:fill="auto"/>
            <w:noWrap/>
            <w:vAlign w:val="center"/>
          </w:tcPr>
          <w:p w14:paraId="3BFB9440">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254,72</w:t>
            </w:r>
          </w:p>
        </w:tc>
      </w:tr>
      <w:tr w14:paraId="7CF6D654">
        <w:tblPrEx>
          <w:tblCellMar>
            <w:top w:w="0" w:type="dxa"/>
            <w:left w:w="108" w:type="dxa"/>
            <w:bottom w:w="0" w:type="dxa"/>
            <w:right w:w="108" w:type="dxa"/>
          </w:tblCellMar>
        </w:tblPrEx>
        <w:trPr>
          <w:trHeight w:val="300" w:hRule="atLeast"/>
          <w:jc w:val="center"/>
        </w:trPr>
        <w:tc>
          <w:tcPr>
            <w:tcW w:w="2313" w:type="dxa"/>
            <w:tcBorders>
              <w:top w:val="nil"/>
              <w:left w:val="single" w:color="auto" w:sz="4" w:space="0"/>
              <w:bottom w:val="single" w:color="auto" w:sz="4" w:space="0"/>
              <w:right w:val="single" w:color="auto" w:sz="4" w:space="0"/>
            </w:tcBorders>
            <w:shd w:val="clear" w:color="auto" w:fill="auto"/>
            <w:vAlign w:val="center"/>
          </w:tcPr>
          <w:p w14:paraId="31B1D8B6">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возврат остатков</w:t>
            </w:r>
          </w:p>
        </w:tc>
        <w:tc>
          <w:tcPr>
            <w:tcW w:w="1487" w:type="dxa"/>
            <w:tcBorders>
              <w:top w:val="nil"/>
              <w:left w:val="nil"/>
              <w:bottom w:val="single" w:color="auto" w:sz="4" w:space="0"/>
              <w:right w:val="single" w:color="auto" w:sz="4" w:space="0"/>
            </w:tcBorders>
            <w:shd w:val="clear" w:color="auto" w:fill="auto"/>
            <w:vAlign w:val="center"/>
          </w:tcPr>
          <w:p w14:paraId="014F4DBA">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-2 373,35</w:t>
            </w:r>
          </w:p>
        </w:tc>
        <w:tc>
          <w:tcPr>
            <w:tcW w:w="1512" w:type="dxa"/>
            <w:tcBorders>
              <w:top w:val="nil"/>
              <w:left w:val="nil"/>
              <w:bottom w:val="single" w:color="auto" w:sz="4" w:space="0"/>
              <w:right w:val="single" w:color="auto" w:sz="4" w:space="0"/>
            </w:tcBorders>
            <w:shd w:val="clear" w:color="auto" w:fill="auto"/>
            <w:vAlign w:val="center"/>
          </w:tcPr>
          <w:p w14:paraId="32927632">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-5 755,5</w:t>
            </w:r>
          </w:p>
        </w:tc>
        <w:tc>
          <w:tcPr>
            <w:tcW w:w="1487" w:type="dxa"/>
            <w:tcBorders>
              <w:top w:val="nil"/>
              <w:left w:val="nil"/>
              <w:bottom w:val="single" w:color="auto" w:sz="4" w:space="0"/>
              <w:right w:val="single" w:color="auto" w:sz="4" w:space="0"/>
            </w:tcBorders>
            <w:shd w:val="clear" w:color="auto" w:fill="auto"/>
            <w:vAlign w:val="center"/>
          </w:tcPr>
          <w:p w14:paraId="51B0395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-5 777,42</w:t>
            </w:r>
          </w:p>
        </w:tc>
        <w:tc>
          <w:tcPr>
            <w:tcW w:w="1221" w:type="dxa"/>
            <w:tcBorders>
              <w:top w:val="nil"/>
              <w:left w:val="nil"/>
              <w:bottom w:val="single" w:color="auto" w:sz="4" w:space="0"/>
              <w:right w:val="single" w:color="auto" w:sz="4" w:space="0"/>
            </w:tcBorders>
            <w:shd w:val="clear" w:color="auto" w:fill="auto"/>
            <w:noWrap/>
            <w:vAlign w:val="center"/>
          </w:tcPr>
          <w:p w14:paraId="21A5A680">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100,38</w:t>
            </w:r>
          </w:p>
        </w:tc>
        <w:tc>
          <w:tcPr>
            <w:tcW w:w="1336" w:type="dxa"/>
            <w:tcBorders>
              <w:top w:val="nil"/>
              <w:left w:val="nil"/>
              <w:bottom w:val="single" w:color="auto" w:sz="4" w:space="0"/>
              <w:right w:val="single" w:color="auto" w:sz="4" w:space="0"/>
            </w:tcBorders>
            <w:shd w:val="clear" w:color="auto" w:fill="auto"/>
            <w:noWrap/>
            <w:vAlign w:val="center"/>
          </w:tcPr>
          <w:p w14:paraId="57A14042">
            <w:pPr>
              <w:jc w:val="center"/>
              <w:textAlignment w:val="bottom"/>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243,43</w:t>
            </w:r>
          </w:p>
        </w:tc>
      </w:tr>
    </w:tbl>
    <w:p w14:paraId="6D24F9CC">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Основными видами поступлений являются субвенции их доля в общем объёме безвозмездных поступлений составляет 62,5% и межбюджетные трансферты доля 30,9%. </w:t>
      </w:r>
    </w:p>
    <w:p w14:paraId="26435A9B">
      <w:pPr>
        <w:ind w:firstLine="567"/>
        <w:jc w:val="both"/>
        <w:rPr>
          <w:color w:val="000000" w:themeColor="text1"/>
          <w:sz w:val="12"/>
          <w:szCs w:val="12"/>
          <w14:textFill>
            <w14:solidFill>
              <w14:schemeClr w14:val="tx1"/>
            </w14:solidFill>
          </w14:textFill>
        </w:rPr>
      </w:pPr>
    </w:p>
    <w:p w14:paraId="5A7B9123">
      <w:pPr>
        <w:pStyle w:val="10"/>
        <w:numPr>
          <w:ilvl w:val="0"/>
          <w:numId w:val="1"/>
        </w:numPr>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Анализ исполнения расходной части бюджета.</w:t>
      </w:r>
    </w:p>
    <w:p w14:paraId="730D7722">
      <w:pPr>
        <w:pStyle w:val="10"/>
        <w:jc w:val="both"/>
        <w:rPr>
          <w:b/>
          <w:color w:val="000000" w:themeColor="text1"/>
          <w:sz w:val="12"/>
          <w:szCs w:val="12"/>
          <w:highlight w:val="yellow"/>
          <w14:textFill>
            <w14:solidFill>
              <w14:schemeClr w14:val="tx1"/>
            </w14:solidFill>
          </w14:textFill>
        </w:rPr>
      </w:pPr>
    </w:p>
    <w:p w14:paraId="2509B126">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Расходы бюджета за 1 квартал 2025 года освоены в сумме 441774,56 тыс. руб. (24,49 % к данным сводной бюджетной росписи на 31.03.2025г. (1803920,88 тыс. руб.)), из них наибольший процент освоения (более 25% от бюджетных назначений) сложился по муниципальным программам:</w:t>
      </w:r>
    </w:p>
    <w:p w14:paraId="6E1CC352">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65,18% (102861,36 тыс. руб.) - 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p w14:paraId="2DCBD184">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32,19% (30074,58 тыс. руб.) - МП «Повышение эффективности управления муниципальными финансами»;</w:t>
      </w:r>
    </w:p>
    <w:p w14:paraId="43C27B2B">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Отсутствует освоение по следующим муниципальным программам:</w:t>
      </w:r>
    </w:p>
    <w:p w14:paraId="4C7F8636">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МП «Охрана окружающей среды в МО «Ахтубинский район» (оплата по контрактам планируется во 2-3 квартале);</w:t>
      </w:r>
    </w:p>
    <w:p w14:paraId="1D05C86C">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МП «Стимулирование развития жилищного строительства» (в 1 кв. 2025 г. контракты на проведение работ не заключены);</w:t>
      </w:r>
    </w:p>
    <w:p w14:paraId="4F592D58">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МП «Развитие физической культуры и спорта в Ахтубинском районе» (оплата контрактов на поставку наградной продукции планируется во 2-3 квартале);</w:t>
      </w:r>
    </w:p>
    <w:p w14:paraId="2AB1DE29">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 (в связи с проведением процедур реорганизации МУП «Типография» финансирование муниципальной программы не осуществляется).</w:t>
      </w:r>
    </w:p>
    <w:p w14:paraId="1CB04401">
      <w:pPr>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По 16 программам и 2 непрограммным мероприятиям распределение ассигнований представлено в таблице №6:</w:t>
      </w:r>
    </w:p>
    <w:p w14:paraId="38EE498E">
      <w:pPr>
        <w:jc w:val="right"/>
        <w:rPr>
          <w:color w:val="000000" w:themeColor="text1"/>
          <w14:textFill>
            <w14:solidFill>
              <w14:schemeClr w14:val="tx1"/>
            </w14:solidFill>
          </w14:textFill>
        </w:rPr>
      </w:pPr>
      <w:r>
        <w:rPr>
          <w:color w:val="000000" w:themeColor="text1"/>
          <w14:textFill>
            <w14:solidFill>
              <w14:schemeClr w14:val="tx1"/>
            </w14:solidFill>
          </w14:textFill>
        </w:rPr>
        <w:t>Таблица №6 (тыс. руб.)</w:t>
      </w:r>
    </w:p>
    <w:tbl>
      <w:tblPr>
        <w:tblStyle w:val="3"/>
        <w:tblW w:w="9487" w:type="dxa"/>
        <w:tblInd w:w="0" w:type="dxa"/>
        <w:tblLayout w:type="fixed"/>
        <w:tblCellMar>
          <w:top w:w="0" w:type="dxa"/>
          <w:left w:w="108" w:type="dxa"/>
          <w:bottom w:w="0" w:type="dxa"/>
          <w:right w:w="108" w:type="dxa"/>
        </w:tblCellMar>
      </w:tblPr>
      <w:tblGrid>
        <w:gridCol w:w="441"/>
        <w:gridCol w:w="2409"/>
        <w:gridCol w:w="1276"/>
        <w:gridCol w:w="1418"/>
        <w:gridCol w:w="1275"/>
        <w:gridCol w:w="1276"/>
        <w:gridCol w:w="1392"/>
      </w:tblGrid>
      <w:tr w14:paraId="354EB3EE">
        <w:tblPrEx>
          <w:tblCellMar>
            <w:top w:w="0" w:type="dxa"/>
            <w:left w:w="108" w:type="dxa"/>
            <w:bottom w:w="0" w:type="dxa"/>
            <w:right w:w="108" w:type="dxa"/>
          </w:tblCellMar>
        </w:tblPrEx>
        <w:trPr>
          <w:trHeight w:val="127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31724D">
            <w:pPr>
              <w:jc w:val="center"/>
              <w:rPr>
                <w:color w:val="000000" w:themeColor="text1"/>
                <w:sz w:val="20"/>
                <w:szCs w:val="20"/>
                <w14:textFill>
                  <w14:solidFill>
                    <w14:schemeClr w14:val="tx1"/>
                  </w14:solidFill>
                </w14:textFill>
              </w:rPr>
            </w:pPr>
          </w:p>
        </w:tc>
        <w:tc>
          <w:tcPr>
            <w:tcW w:w="2409" w:type="dxa"/>
            <w:tcBorders>
              <w:top w:val="single" w:color="auto" w:sz="4" w:space="0"/>
              <w:left w:val="nil"/>
              <w:bottom w:val="single" w:color="auto" w:sz="4" w:space="0"/>
              <w:right w:val="single" w:color="auto" w:sz="4" w:space="0"/>
            </w:tcBorders>
            <w:shd w:val="clear" w:color="auto" w:fill="auto"/>
            <w:vAlign w:val="center"/>
          </w:tcPr>
          <w:p w14:paraId="65FAE7C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Наименование</w:t>
            </w:r>
          </w:p>
        </w:tc>
        <w:tc>
          <w:tcPr>
            <w:tcW w:w="1276" w:type="dxa"/>
            <w:tcBorders>
              <w:top w:val="single" w:color="auto" w:sz="4" w:space="0"/>
              <w:left w:val="nil"/>
              <w:bottom w:val="single" w:color="auto" w:sz="4" w:space="0"/>
              <w:right w:val="single" w:color="auto" w:sz="4" w:space="0"/>
            </w:tcBorders>
            <w:shd w:val="clear" w:color="auto" w:fill="auto"/>
            <w:vAlign w:val="center"/>
          </w:tcPr>
          <w:p w14:paraId="04453CB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Исполнение за первый квартал 2024 года, руб.</w:t>
            </w:r>
          </w:p>
        </w:tc>
        <w:tc>
          <w:tcPr>
            <w:tcW w:w="1418" w:type="dxa"/>
            <w:tcBorders>
              <w:top w:val="single" w:color="auto" w:sz="4" w:space="0"/>
              <w:left w:val="nil"/>
              <w:bottom w:val="single" w:color="auto" w:sz="4" w:space="0"/>
              <w:right w:val="single" w:color="auto" w:sz="4" w:space="0"/>
            </w:tcBorders>
            <w:shd w:val="clear" w:color="auto" w:fill="auto"/>
            <w:vAlign w:val="center"/>
          </w:tcPr>
          <w:p w14:paraId="2492F8F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Сводная бюджетная роспись на 31.03.2025, руб.</w:t>
            </w:r>
          </w:p>
        </w:tc>
        <w:tc>
          <w:tcPr>
            <w:tcW w:w="1275" w:type="dxa"/>
            <w:tcBorders>
              <w:top w:val="single" w:color="auto" w:sz="4" w:space="0"/>
              <w:left w:val="nil"/>
              <w:bottom w:val="single" w:color="auto" w:sz="4" w:space="0"/>
              <w:right w:val="single" w:color="auto" w:sz="4" w:space="0"/>
            </w:tcBorders>
            <w:shd w:val="clear" w:color="auto" w:fill="auto"/>
            <w:vAlign w:val="center"/>
          </w:tcPr>
          <w:p w14:paraId="36FFF08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Исполнение за первый квартал 2025 года, руб.</w:t>
            </w:r>
          </w:p>
        </w:tc>
        <w:tc>
          <w:tcPr>
            <w:tcW w:w="1276" w:type="dxa"/>
            <w:tcBorders>
              <w:top w:val="single" w:color="auto" w:sz="4" w:space="0"/>
              <w:left w:val="nil"/>
              <w:bottom w:val="single" w:color="auto" w:sz="4" w:space="0"/>
              <w:right w:val="single" w:color="auto" w:sz="4" w:space="0"/>
            </w:tcBorders>
            <w:shd w:val="clear" w:color="auto" w:fill="auto"/>
            <w:vAlign w:val="center"/>
          </w:tcPr>
          <w:p w14:paraId="4FAA2A7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исполнения бюджета за первый квартал 2025 года</w:t>
            </w:r>
          </w:p>
        </w:tc>
        <w:tc>
          <w:tcPr>
            <w:tcW w:w="1392" w:type="dxa"/>
            <w:tcBorders>
              <w:top w:val="single" w:color="auto" w:sz="4" w:space="0"/>
              <w:left w:val="nil"/>
              <w:bottom w:val="single" w:color="auto" w:sz="4" w:space="0"/>
              <w:right w:val="single" w:color="auto" w:sz="4" w:space="0"/>
            </w:tcBorders>
            <w:shd w:val="clear" w:color="auto" w:fill="auto"/>
            <w:vAlign w:val="center"/>
          </w:tcPr>
          <w:p w14:paraId="783B67C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Темпы роста 2025 к 2024 (%) гр.4/гр.2*100</w:t>
            </w:r>
          </w:p>
        </w:tc>
      </w:tr>
      <w:tr w14:paraId="2E0BAE72">
        <w:tblPrEx>
          <w:tblCellMar>
            <w:top w:w="0" w:type="dxa"/>
            <w:left w:w="108" w:type="dxa"/>
            <w:bottom w:w="0" w:type="dxa"/>
            <w:right w:w="108" w:type="dxa"/>
          </w:tblCellMar>
        </w:tblPrEx>
        <w:trPr>
          <w:trHeight w:val="34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25F3DF5">
            <w:pPr>
              <w:jc w:val="center"/>
              <w:rPr>
                <w:color w:val="000000" w:themeColor="text1"/>
                <w:sz w:val="20"/>
                <w:szCs w:val="20"/>
                <w14:textFill>
                  <w14:solidFill>
                    <w14:schemeClr w14:val="tx1"/>
                  </w14:solidFill>
                </w14:textFill>
              </w:rPr>
            </w:pPr>
          </w:p>
        </w:tc>
        <w:tc>
          <w:tcPr>
            <w:tcW w:w="2409" w:type="dxa"/>
            <w:tcBorders>
              <w:top w:val="nil"/>
              <w:left w:val="nil"/>
              <w:bottom w:val="single" w:color="auto" w:sz="4" w:space="0"/>
              <w:right w:val="single" w:color="auto" w:sz="4" w:space="0"/>
            </w:tcBorders>
            <w:shd w:val="clear" w:color="auto" w:fill="auto"/>
            <w:vAlign w:val="center"/>
          </w:tcPr>
          <w:p w14:paraId="1564BC85">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auto"/>
            <w:vAlign w:val="center"/>
          </w:tcPr>
          <w:p w14:paraId="23EA617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w:t>
            </w:r>
          </w:p>
        </w:tc>
        <w:tc>
          <w:tcPr>
            <w:tcW w:w="1418" w:type="dxa"/>
            <w:tcBorders>
              <w:top w:val="nil"/>
              <w:left w:val="nil"/>
              <w:bottom w:val="single" w:color="auto" w:sz="4" w:space="0"/>
              <w:right w:val="single" w:color="auto" w:sz="4" w:space="0"/>
            </w:tcBorders>
            <w:shd w:val="clear" w:color="auto" w:fill="auto"/>
            <w:vAlign w:val="center"/>
          </w:tcPr>
          <w:p w14:paraId="69CB75A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w:t>
            </w:r>
          </w:p>
        </w:tc>
        <w:tc>
          <w:tcPr>
            <w:tcW w:w="1275" w:type="dxa"/>
            <w:tcBorders>
              <w:top w:val="nil"/>
              <w:left w:val="nil"/>
              <w:bottom w:val="single" w:color="auto" w:sz="4" w:space="0"/>
              <w:right w:val="single" w:color="auto" w:sz="4" w:space="0"/>
            </w:tcBorders>
            <w:shd w:val="clear" w:color="auto" w:fill="auto"/>
            <w:vAlign w:val="center"/>
          </w:tcPr>
          <w:p w14:paraId="44B1B3D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w:t>
            </w:r>
          </w:p>
        </w:tc>
        <w:tc>
          <w:tcPr>
            <w:tcW w:w="1276" w:type="dxa"/>
            <w:tcBorders>
              <w:top w:val="nil"/>
              <w:left w:val="nil"/>
              <w:bottom w:val="single" w:color="auto" w:sz="4" w:space="0"/>
              <w:right w:val="single" w:color="auto" w:sz="4" w:space="0"/>
            </w:tcBorders>
            <w:shd w:val="clear" w:color="auto" w:fill="auto"/>
            <w:vAlign w:val="center"/>
          </w:tcPr>
          <w:p w14:paraId="7BDE9DF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5</w:t>
            </w:r>
          </w:p>
        </w:tc>
        <w:tc>
          <w:tcPr>
            <w:tcW w:w="1392" w:type="dxa"/>
            <w:tcBorders>
              <w:top w:val="nil"/>
              <w:left w:val="nil"/>
              <w:bottom w:val="single" w:color="auto" w:sz="4" w:space="0"/>
              <w:right w:val="single" w:color="auto" w:sz="4" w:space="0"/>
            </w:tcBorders>
            <w:shd w:val="clear" w:color="auto" w:fill="auto"/>
            <w:vAlign w:val="center"/>
          </w:tcPr>
          <w:p w14:paraId="3159652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w:t>
            </w:r>
          </w:p>
        </w:tc>
      </w:tr>
      <w:tr w14:paraId="4E7E22EE">
        <w:tblPrEx>
          <w:tblCellMar>
            <w:top w:w="0" w:type="dxa"/>
            <w:left w:w="108" w:type="dxa"/>
            <w:bottom w:w="0" w:type="dxa"/>
            <w:right w:w="108" w:type="dxa"/>
          </w:tblCellMar>
        </w:tblPrEx>
        <w:trPr>
          <w:trHeight w:val="147"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476CC41">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w:t>
            </w:r>
          </w:p>
        </w:tc>
        <w:tc>
          <w:tcPr>
            <w:tcW w:w="2409" w:type="dxa"/>
            <w:tcBorders>
              <w:top w:val="nil"/>
              <w:left w:val="nil"/>
              <w:bottom w:val="single" w:color="auto" w:sz="4" w:space="0"/>
              <w:right w:val="single" w:color="auto" w:sz="4" w:space="0"/>
            </w:tcBorders>
            <w:shd w:val="clear" w:color="auto" w:fill="auto"/>
            <w:vAlign w:val="center"/>
          </w:tcPr>
          <w:p w14:paraId="21BCB31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«Развитие системы образования в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54F02D6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221 933,44</w:t>
            </w:r>
          </w:p>
        </w:tc>
        <w:tc>
          <w:tcPr>
            <w:tcW w:w="1418" w:type="dxa"/>
            <w:tcBorders>
              <w:top w:val="nil"/>
              <w:left w:val="nil"/>
              <w:bottom w:val="single" w:color="auto" w:sz="4" w:space="0"/>
              <w:right w:val="single" w:color="auto" w:sz="4" w:space="0"/>
            </w:tcBorders>
            <w:shd w:val="clear" w:color="auto" w:fill="auto"/>
            <w:vAlign w:val="center"/>
          </w:tcPr>
          <w:p w14:paraId="20E60C3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1096 145,60</w:t>
            </w:r>
          </w:p>
        </w:tc>
        <w:tc>
          <w:tcPr>
            <w:tcW w:w="1275" w:type="dxa"/>
            <w:tcBorders>
              <w:top w:val="nil"/>
              <w:left w:val="nil"/>
              <w:bottom w:val="single" w:color="auto" w:sz="4" w:space="0"/>
              <w:right w:val="single" w:color="auto" w:sz="4" w:space="0"/>
            </w:tcBorders>
            <w:shd w:val="clear" w:color="auto" w:fill="auto"/>
            <w:vAlign w:val="center"/>
          </w:tcPr>
          <w:p w14:paraId="5AC88C9F">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251 495,85</w:t>
            </w:r>
          </w:p>
        </w:tc>
        <w:tc>
          <w:tcPr>
            <w:tcW w:w="1276" w:type="dxa"/>
            <w:tcBorders>
              <w:top w:val="nil"/>
              <w:left w:val="nil"/>
              <w:bottom w:val="single" w:color="auto" w:sz="4" w:space="0"/>
              <w:right w:val="single" w:color="auto" w:sz="4" w:space="0"/>
            </w:tcBorders>
            <w:shd w:val="clear" w:color="auto" w:fill="auto"/>
            <w:noWrap/>
            <w:vAlign w:val="center"/>
          </w:tcPr>
          <w:p w14:paraId="3054F5A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22,94</w:t>
            </w:r>
          </w:p>
        </w:tc>
        <w:tc>
          <w:tcPr>
            <w:tcW w:w="1392" w:type="dxa"/>
            <w:tcBorders>
              <w:top w:val="nil"/>
              <w:left w:val="nil"/>
              <w:bottom w:val="single" w:color="auto" w:sz="4" w:space="0"/>
              <w:right w:val="single" w:color="auto" w:sz="4" w:space="0"/>
            </w:tcBorders>
            <w:shd w:val="clear" w:color="auto" w:fill="auto"/>
            <w:noWrap/>
            <w:vAlign w:val="center"/>
          </w:tcPr>
          <w:p w14:paraId="18F0BCB6">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113,32</w:t>
            </w:r>
          </w:p>
        </w:tc>
      </w:tr>
      <w:tr w14:paraId="2674542D">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2E6BEF18">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w:t>
            </w:r>
          </w:p>
        </w:tc>
        <w:tc>
          <w:tcPr>
            <w:tcW w:w="2409" w:type="dxa"/>
            <w:tcBorders>
              <w:top w:val="nil"/>
              <w:left w:val="nil"/>
              <w:bottom w:val="single" w:color="auto" w:sz="4" w:space="0"/>
              <w:right w:val="single" w:color="auto" w:sz="4" w:space="0"/>
            </w:tcBorders>
            <w:shd w:val="clear" w:color="auto" w:fill="auto"/>
            <w:vAlign w:val="center"/>
          </w:tcPr>
          <w:p w14:paraId="383149E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«Обеспечение общественного порядка и противодействие преступности в Ахтубинском районе»</w:t>
            </w:r>
          </w:p>
        </w:tc>
        <w:tc>
          <w:tcPr>
            <w:tcW w:w="1276" w:type="dxa"/>
            <w:tcBorders>
              <w:top w:val="nil"/>
              <w:left w:val="nil"/>
              <w:bottom w:val="single" w:color="auto" w:sz="4" w:space="0"/>
              <w:right w:val="single" w:color="auto" w:sz="4" w:space="0"/>
            </w:tcBorders>
            <w:shd w:val="clear" w:color="auto" w:fill="auto"/>
            <w:vAlign w:val="center"/>
          </w:tcPr>
          <w:p w14:paraId="456DC92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502,88349</w:t>
            </w:r>
          </w:p>
        </w:tc>
        <w:tc>
          <w:tcPr>
            <w:tcW w:w="1418" w:type="dxa"/>
            <w:tcBorders>
              <w:top w:val="nil"/>
              <w:left w:val="nil"/>
              <w:bottom w:val="single" w:color="auto" w:sz="4" w:space="0"/>
              <w:right w:val="single" w:color="auto" w:sz="4" w:space="0"/>
            </w:tcBorders>
            <w:shd w:val="clear" w:color="auto" w:fill="auto"/>
            <w:vAlign w:val="center"/>
          </w:tcPr>
          <w:p w14:paraId="58F449C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11 727,64</w:t>
            </w:r>
          </w:p>
        </w:tc>
        <w:tc>
          <w:tcPr>
            <w:tcW w:w="1275" w:type="dxa"/>
            <w:tcBorders>
              <w:top w:val="nil"/>
              <w:left w:val="nil"/>
              <w:bottom w:val="single" w:color="auto" w:sz="4" w:space="0"/>
              <w:right w:val="single" w:color="auto" w:sz="4" w:space="0"/>
            </w:tcBorders>
            <w:shd w:val="clear" w:color="auto" w:fill="auto"/>
            <w:vAlign w:val="center"/>
          </w:tcPr>
          <w:p w14:paraId="4F9F516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1009,64</w:t>
            </w:r>
          </w:p>
        </w:tc>
        <w:tc>
          <w:tcPr>
            <w:tcW w:w="1276" w:type="dxa"/>
            <w:tcBorders>
              <w:top w:val="nil"/>
              <w:left w:val="nil"/>
              <w:bottom w:val="single" w:color="auto" w:sz="4" w:space="0"/>
              <w:right w:val="single" w:color="auto" w:sz="4" w:space="0"/>
            </w:tcBorders>
            <w:shd w:val="clear" w:color="auto" w:fill="auto"/>
            <w:noWrap/>
            <w:vAlign w:val="center"/>
          </w:tcPr>
          <w:p w14:paraId="4029815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8,61</w:t>
            </w:r>
          </w:p>
        </w:tc>
        <w:tc>
          <w:tcPr>
            <w:tcW w:w="1392" w:type="dxa"/>
            <w:tcBorders>
              <w:top w:val="nil"/>
              <w:left w:val="nil"/>
              <w:bottom w:val="single" w:color="auto" w:sz="4" w:space="0"/>
              <w:right w:val="single" w:color="auto" w:sz="4" w:space="0"/>
            </w:tcBorders>
            <w:shd w:val="clear" w:color="auto" w:fill="auto"/>
            <w:noWrap/>
            <w:vAlign w:val="center"/>
          </w:tcPr>
          <w:p w14:paraId="7FF6535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200,77</w:t>
            </w:r>
          </w:p>
        </w:tc>
      </w:tr>
      <w:tr w14:paraId="3CAD9740">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050693C3">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w:t>
            </w:r>
          </w:p>
        </w:tc>
        <w:tc>
          <w:tcPr>
            <w:tcW w:w="2409" w:type="dxa"/>
            <w:tcBorders>
              <w:top w:val="nil"/>
              <w:left w:val="nil"/>
              <w:bottom w:val="single" w:color="auto" w:sz="4" w:space="0"/>
              <w:right w:val="single" w:color="auto" w:sz="4" w:space="0"/>
            </w:tcBorders>
            <w:shd w:val="clear" w:color="auto" w:fill="auto"/>
            <w:vAlign w:val="center"/>
          </w:tcPr>
          <w:p w14:paraId="325A42C1">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«Развитие культуры и сохранение культурного наследия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53BEC7F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25 897,30</w:t>
            </w:r>
          </w:p>
        </w:tc>
        <w:tc>
          <w:tcPr>
            <w:tcW w:w="1418" w:type="dxa"/>
            <w:tcBorders>
              <w:top w:val="nil"/>
              <w:left w:val="nil"/>
              <w:bottom w:val="single" w:color="auto" w:sz="4" w:space="0"/>
              <w:right w:val="single" w:color="auto" w:sz="4" w:space="0"/>
            </w:tcBorders>
            <w:shd w:val="clear" w:color="auto" w:fill="auto"/>
            <w:vAlign w:val="center"/>
          </w:tcPr>
          <w:p w14:paraId="2FAF9F31">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145 897,48</w:t>
            </w:r>
          </w:p>
        </w:tc>
        <w:tc>
          <w:tcPr>
            <w:tcW w:w="1275" w:type="dxa"/>
            <w:tcBorders>
              <w:top w:val="nil"/>
              <w:left w:val="nil"/>
              <w:bottom w:val="single" w:color="auto" w:sz="4" w:space="0"/>
              <w:right w:val="single" w:color="auto" w:sz="4" w:space="0"/>
            </w:tcBorders>
            <w:shd w:val="clear" w:color="auto" w:fill="auto"/>
            <w:vAlign w:val="center"/>
          </w:tcPr>
          <w:p w14:paraId="6689C50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30 955,26</w:t>
            </w:r>
          </w:p>
        </w:tc>
        <w:tc>
          <w:tcPr>
            <w:tcW w:w="1276" w:type="dxa"/>
            <w:tcBorders>
              <w:top w:val="nil"/>
              <w:left w:val="nil"/>
              <w:bottom w:val="single" w:color="auto" w:sz="4" w:space="0"/>
              <w:right w:val="single" w:color="auto" w:sz="4" w:space="0"/>
            </w:tcBorders>
            <w:shd w:val="clear" w:color="auto" w:fill="auto"/>
            <w:noWrap/>
            <w:vAlign w:val="center"/>
          </w:tcPr>
          <w:p w14:paraId="525A1FD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21,22</w:t>
            </w:r>
          </w:p>
        </w:tc>
        <w:tc>
          <w:tcPr>
            <w:tcW w:w="1392" w:type="dxa"/>
            <w:tcBorders>
              <w:top w:val="nil"/>
              <w:left w:val="nil"/>
              <w:bottom w:val="single" w:color="auto" w:sz="4" w:space="0"/>
              <w:right w:val="single" w:color="auto" w:sz="4" w:space="0"/>
            </w:tcBorders>
            <w:shd w:val="clear" w:color="auto" w:fill="auto"/>
            <w:noWrap/>
            <w:vAlign w:val="center"/>
          </w:tcPr>
          <w:p w14:paraId="49A4BA46">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119,53</w:t>
            </w:r>
          </w:p>
        </w:tc>
      </w:tr>
      <w:tr w14:paraId="2648A34D">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55073E39">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w:t>
            </w:r>
          </w:p>
        </w:tc>
        <w:tc>
          <w:tcPr>
            <w:tcW w:w="2409" w:type="dxa"/>
            <w:tcBorders>
              <w:top w:val="nil"/>
              <w:left w:val="nil"/>
              <w:bottom w:val="single" w:color="auto" w:sz="4" w:space="0"/>
              <w:right w:val="single" w:color="auto" w:sz="4" w:space="0"/>
            </w:tcBorders>
            <w:shd w:val="clear" w:color="auto" w:fill="auto"/>
            <w:vAlign w:val="center"/>
          </w:tcPr>
          <w:p w14:paraId="5890FA6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«Охрана окружающей среды в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0C1DED5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418" w:type="dxa"/>
            <w:tcBorders>
              <w:top w:val="nil"/>
              <w:left w:val="nil"/>
              <w:bottom w:val="single" w:color="auto" w:sz="4" w:space="0"/>
              <w:right w:val="single" w:color="auto" w:sz="4" w:space="0"/>
            </w:tcBorders>
            <w:shd w:val="clear" w:color="auto" w:fill="auto"/>
            <w:vAlign w:val="center"/>
          </w:tcPr>
          <w:p w14:paraId="5BC18999">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600,00</w:t>
            </w:r>
          </w:p>
        </w:tc>
        <w:tc>
          <w:tcPr>
            <w:tcW w:w="1275" w:type="dxa"/>
            <w:tcBorders>
              <w:top w:val="nil"/>
              <w:left w:val="nil"/>
              <w:bottom w:val="single" w:color="auto" w:sz="4" w:space="0"/>
              <w:right w:val="single" w:color="auto" w:sz="4" w:space="0"/>
            </w:tcBorders>
            <w:shd w:val="clear" w:color="auto" w:fill="auto"/>
            <w:vAlign w:val="center"/>
          </w:tcPr>
          <w:p w14:paraId="3AE501F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276" w:type="dxa"/>
            <w:tcBorders>
              <w:top w:val="nil"/>
              <w:left w:val="nil"/>
              <w:bottom w:val="single" w:color="auto" w:sz="4" w:space="0"/>
              <w:right w:val="single" w:color="auto" w:sz="4" w:space="0"/>
            </w:tcBorders>
            <w:shd w:val="clear" w:color="auto" w:fill="auto"/>
            <w:noWrap/>
            <w:vAlign w:val="center"/>
          </w:tcPr>
          <w:p w14:paraId="43DB1DE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392" w:type="dxa"/>
            <w:tcBorders>
              <w:top w:val="nil"/>
              <w:left w:val="nil"/>
              <w:bottom w:val="single" w:color="auto" w:sz="4" w:space="0"/>
              <w:right w:val="single" w:color="auto" w:sz="4" w:space="0"/>
            </w:tcBorders>
            <w:shd w:val="clear" w:color="auto" w:fill="auto"/>
            <w:noWrap/>
            <w:vAlign w:val="center"/>
          </w:tcPr>
          <w:p w14:paraId="4C428AB1">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х</w:t>
            </w:r>
          </w:p>
        </w:tc>
      </w:tr>
      <w:tr w14:paraId="154A99CE">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0C52414">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5</w:t>
            </w:r>
          </w:p>
        </w:tc>
        <w:tc>
          <w:tcPr>
            <w:tcW w:w="2409" w:type="dxa"/>
            <w:tcBorders>
              <w:top w:val="nil"/>
              <w:left w:val="nil"/>
              <w:bottom w:val="single" w:color="auto" w:sz="4" w:space="0"/>
              <w:right w:val="single" w:color="auto" w:sz="4" w:space="0"/>
            </w:tcBorders>
            <w:shd w:val="clear" w:color="auto" w:fill="auto"/>
            <w:vAlign w:val="center"/>
          </w:tcPr>
          <w:p w14:paraId="76A9E8D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«Развитие физической культуры и спорта в Ахтубинском районе»</w:t>
            </w:r>
          </w:p>
        </w:tc>
        <w:tc>
          <w:tcPr>
            <w:tcW w:w="1276" w:type="dxa"/>
            <w:tcBorders>
              <w:top w:val="nil"/>
              <w:left w:val="nil"/>
              <w:bottom w:val="single" w:color="auto" w:sz="4" w:space="0"/>
              <w:right w:val="single" w:color="auto" w:sz="4" w:space="0"/>
            </w:tcBorders>
            <w:shd w:val="clear" w:color="auto" w:fill="auto"/>
            <w:vAlign w:val="center"/>
          </w:tcPr>
          <w:p w14:paraId="774595E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0,00</w:t>
            </w:r>
          </w:p>
        </w:tc>
        <w:tc>
          <w:tcPr>
            <w:tcW w:w="1418" w:type="dxa"/>
            <w:tcBorders>
              <w:top w:val="nil"/>
              <w:left w:val="nil"/>
              <w:bottom w:val="single" w:color="auto" w:sz="4" w:space="0"/>
              <w:right w:val="single" w:color="auto" w:sz="4" w:space="0"/>
            </w:tcBorders>
            <w:shd w:val="clear" w:color="auto" w:fill="auto"/>
            <w:vAlign w:val="center"/>
          </w:tcPr>
          <w:p w14:paraId="070709ED">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533,33</w:t>
            </w:r>
          </w:p>
        </w:tc>
        <w:tc>
          <w:tcPr>
            <w:tcW w:w="1275" w:type="dxa"/>
            <w:tcBorders>
              <w:top w:val="nil"/>
              <w:left w:val="nil"/>
              <w:bottom w:val="single" w:color="auto" w:sz="4" w:space="0"/>
              <w:right w:val="single" w:color="auto" w:sz="4" w:space="0"/>
            </w:tcBorders>
            <w:shd w:val="clear" w:color="auto" w:fill="auto"/>
            <w:vAlign w:val="center"/>
          </w:tcPr>
          <w:p w14:paraId="04578F4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0,00</w:t>
            </w:r>
          </w:p>
        </w:tc>
        <w:tc>
          <w:tcPr>
            <w:tcW w:w="1276" w:type="dxa"/>
            <w:tcBorders>
              <w:top w:val="nil"/>
              <w:left w:val="nil"/>
              <w:bottom w:val="single" w:color="auto" w:sz="4" w:space="0"/>
              <w:right w:val="single" w:color="auto" w:sz="4" w:space="0"/>
            </w:tcBorders>
            <w:shd w:val="clear" w:color="auto" w:fill="auto"/>
            <w:noWrap/>
            <w:vAlign w:val="center"/>
          </w:tcPr>
          <w:p w14:paraId="2A773FA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392" w:type="dxa"/>
            <w:tcBorders>
              <w:top w:val="nil"/>
              <w:left w:val="nil"/>
              <w:bottom w:val="single" w:color="auto" w:sz="4" w:space="0"/>
              <w:right w:val="single" w:color="auto" w:sz="4" w:space="0"/>
            </w:tcBorders>
            <w:shd w:val="clear" w:color="auto" w:fill="auto"/>
            <w:noWrap/>
            <w:vAlign w:val="center"/>
          </w:tcPr>
          <w:p w14:paraId="3F7EE7F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х</w:t>
            </w:r>
          </w:p>
        </w:tc>
      </w:tr>
      <w:tr w14:paraId="52C217C5">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DB28957">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w:t>
            </w:r>
          </w:p>
        </w:tc>
        <w:tc>
          <w:tcPr>
            <w:tcW w:w="2409" w:type="dxa"/>
            <w:tcBorders>
              <w:top w:val="nil"/>
              <w:left w:val="nil"/>
              <w:bottom w:val="single" w:color="auto" w:sz="4" w:space="0"/>
              <w:right w:val="single" w:color="auto" w:sz="4" w:space="0"/>
            </w:tcBorders>
            <w:shd w:val="clear" w:color="auto" w:fill="auto"/>
            <w:vAlign w:val="center"/>
          </w:tcPr>
          <w:p w14:paraId="32CB851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МП «Молодежь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1F36135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1 390,83</w:t>
            </w:r>
          </w:p>
        </w:tc>
        <w:tc>
          <w:tcPr>
            <w:tcW w:w="1418" w:type="dxa"/>
            <w:tcBorders>
              <w:top w:val="nil"/>
              <w:left w:val="nil"/>
              <w:bottom w:val="single" w:color="auto" w:sz="4" w:space="0"/>
              <w:right w:val="single" w:color="auto" w:sz="4" w:space="0"/>
            </w:tcBorders>
            <w:shd w:val="clear" w:color="auto" w:fill="auto"/>
            <w:vAlign w:val="center"/>
          </w:tcPr>
          <w:p w14:paraId="025757C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11 075,24</w:t>
            </w:r>
          </w:p>
        </w:tc>
        <w:tc>
          <w:tcPr>
            <w:tcW w:w="1275" w:type="dxa"/>
            <w:tcBorders>
              <w:top w:val="nil"/>
              <w:left w:val="nil"/>
              <w:bottom w:val="single" w:color="auto" w:sz="4" w:space="0"/>
              <w:right w:val="single" w:color="auto" w:sz="4" w:space="0"/>
            </w:tcBorders>
            <w:shd w:val="clear" w:color="auto" w:fill="auto"/>
            <w:vAlign w:val="center"/>
          </w:tcPr>
          <w:p w14:paraId="713420F5">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1 631,32</w:t>
            </w:r>
          </w:p>
        </w:tc>
        <w:tc>
          <w:tcPr>
            <w:tcW w:w="1276" w:type="dxa"/>
            <w:tcBorders>
              <w:top w:val="nil"/>
              <w:left w:val="nil"/>
              <w:bottom w:val="single" w:color="auto" w:sz="4" w:space="0"/>
              <w:right w:val="single" w:color="auto" w:sz="4" w:space="0"/>
            </w:tcBorders>
            <w:shd w:val="clear" w:color="auto" w:fill="auto"/>
            <w:noWrap/>
            <w:vAlign w:val="center"/>
          </w:tcPr>
          <w:p w14:paraId="3B4D923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14,73</w:t>
            </w:r>
          </w:p>
        </w:tc>
        <w:tc>
          <w:tcPr>
            <w:tcW w:w="1392" w:type="dxa"/>
            <w:tcBorders>
              <w:top w:val="nil"/>
              <w:left w:val="nil"/>
              <w:bottom w:val="single" w:color="auto" w:sz="4" w:space="0"/>
              <w:right w:val="single" w:color="auto" w:sz="4" w:space="0"/>
            </w:tcBorders>
            <w:shd w:val="clear" w:color="auto" w:fill="auto"/>
            <w:noWrap/>
            <w:vAlign w:val="center"/>
          </w:tcPr>
          <w:p w14:paraId="66A5C42D">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117,29</w:t>
            </w:r>
          </w:p>
        </w:tc>
      </w:tr>
      <w:tr w14:paraId="3EBABA6A">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6ABD4917">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7</w:t>
            </w:r>
          </w:p>
        </w:tc>
        <w:tc>
          <w:tcPr>
            <w:tcW w:w="2409" w:type="dxa"/>
            <w:tcBorders>
              <w:top w:val="nil"/>
              <w:left w:val="nil"/>
              <w:bottom w:val="single" w:color="auto" w:sz="4" w:space="0"/>
              <w:right w:val="single" w:color="auto" w:sz="4" w:space="0"/>
            </w:tcBorders>
            <w:shd w:val="clear" w:color="auto" w:fill="auto"/>
            <w:vAlign w:val="center"/>
          </w:tcPr>
          <w:p w14:paraId="596F04C9">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«Развитие агропромышленного комплекса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396D8A8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952,20</w:t>
            </w:r>
          </w:p>
        </w:tc>
        <w:tc>
          <w:tcPr>
            <w:tcW w:w="1418" w:type="dxa"/>
            <w:tcBorders>
              <w:top w:val="nil"/>
              <w:left w:val="nil"/>
              <w:bottom w:val="single" w:color="auto" w:sz="4" w:space="0"/>
              <w:right w:val="single" w:color="auto" w:sz="4" w:space="0"/>
            </w:tcBorders>
            <w:shd w:val="clear" w:color="auto" w:fill="auto"/>
            <w:vAlign w:val="center"/>
          </w:tcPr>
          <w:p w14:paraId="69919AD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49 489,46</w:t>
            </w:r>
          </w:p>
        </w:tc>
        <w:tc>
          <w:tcPr>
            <w:tcW w:w="1275" w:type="dxa"/>
            <w:tcBorders>
              <w:top w:val="nil"/>
              <w:left w:val="nil"/>
              <w:bottom w:val="single" w:color="auto" w:sz="4" w:space="0"/>
              <w:right w:val="single" w:color="auto" w:sz="4" w:space="0"/>
            </w:tcBorders>
            <w:shd w:val="clear" w:color="auto" w:fill="auto"/>
            <w:vAlign w:val="center"/>
          </w:tcPr>
          <w:p w14:paraId="0479561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912,76</w:t>
            </w:r>
          </w:p>
        </w:tc>
        <w:tc>
          <w:tcPr>
            <w:tcW w:w="1276" w:type="dxa"/>
            <w:tcBorders>
              <w:top w:val="nil"/>
              <w:left w:val="nil"/>
              <w:bottom w:val="single" w:color="auto" w:sz="4" w:space="0"/>
              <w:right w:val="single" w:color="auto" w:sz="4" w:space="0"/>
            </w:tcBorders>
            <w:shd w:val="clear" w:color="auto" w:fill="auto"/>
            <w:noWrap/>
            <w:vAlign w:val="center"/>
          </w:tcPr>
          <w:p w14:paraId="5FB85E5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1,84</w:t>
            </w:r>
          </w:p>
        </w:tc>
        <w:tc>
          <w:tcPr>
            <w:tcW w:w="1392" w:type="dxa"/>
            <w:tcBorders>
              <w:top w:val="nil"/>
              <w:left w:val="nil"/>
              <w:bottom w:val="single" w:color="auto" w:sz="4" w:space="0"/>
              <w:right w:val="single" w:color="auto" w:sz="4" w:space="0"/>
            </w:tcBorders>
            <w:shd w:val="clear" w:color="auto" w:fill="auto"/>
            <w:noWrap/>
            <w:vAlign w:val="center"/>
          </w:tcPr>
          <w:p w14:paraId="7A1155C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95,86</w:t>
            </w:r>
          </w:p>
        </w:tc>
      </w:tr>
      <w:tr w14:paraId="17CA7EA2">
        <w:tblPrEx>
          <w:tblCellMar>
            <w:top w:w="0" w:type="dxa"/>
            <w:left w:w="108" w:type="dxa"/>
            <w:bottom w:w="0" w:type="dxa"/>
            <w:right w:w="108" w:type="dxa"/>
          </w:tblCellMar>
        </w:tblPrEx>
        <w:trPr>
          <w:trHeight w:val="102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729D1751">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w:t>
            </w:r>
          </w:p>
        </w:tc>
        <w:tc>
          <w:tcPr>
            <w:tcW w:w="2409" w:type="dxa"/>
            <w:tcBorders>
              <w:top w:val="nil"/>
              <w:left w:val="nil"/>
              <w:bottom w:val="single" w:color="auto" w:sz="4" w:space="0"/>
              <w:right w:val="single" w:color="auto" w:sz="4" w:space="0"/>
            </w:tcBorders>
            <w:shd w:val="clear" w:color="auto" w:fill="auto"/>
            <w:vAlign w:val="center"/>
          </w:tcPr>
          <w:p w14:paraId="61BFD15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0606D55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113 871,05</w:t>
            </w:r>
          </w:p>
        </w:tc>
        <w:tc>
          <w:tcPr>
            <w:tcW w:w="1418" w:type="dxa"/>
            <w:tcBorders>
              <w:top w:val="nil"/>
              <w:left w:val="nil"/>
              <w:bottom w:val="single" w:color="auto" w:sz="4" w:space="0"/>
              <w:right w:val="single" w:color="auto" w:sz="4" w:space="0"/>
            </w:tcBorders>
            <w:shd w:val="clear" w:color="auto" w:fill="auto"/>
            <w:vAlign w:val="center"/>
          </w:tcPr>
          <w:p w14:paraId="3C7FB261">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157 819,53</w:t>
            </w:r>
          </w:p>
        </w:tc>
        <w:tc>
          <w:tcPr>
            <w:tcW w:w="1275" w:type="dxa"/>
            <w:tcBorders>
              <w:top w:val="nil"/>
              <w:left w:val="nil"/>
              <w:bottom w:val="single" w:color="auto" w:sz="4" w:space="0"/>
              <w:right w:val="single" w:color="auto" w:sz="4" w:space="0"/>
            </w:tcBorders>
            <w:shd w:val="clear" w:color="auto" w:fill="auto"/>
            <w:vAlign w:val="center"/>
          </w:tcPr>
          <w:p w14:paraId="4F594CD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102 861,36</w:t>
            </w:r>
          </w:p>
        </w:tc>
        <w:tc>
          <w:tcPr>
            <w:tcW w:w="1276" w:type="dxa"/>
            <w:tcBorders>
              <w:top w:val="nil"/>
              <w:left w:val="nil"/>
              <w:bottom w:val="single" w:color="auto" w:sz="4" w:space="0"/>
              <w:right w:val="single" w:color="auto" w:sz="4" w:space="0"/>
            </w:tcBorders>
            <w:shd w:val="clear" w:color="auto" w:fill="auto"/>
            <w:noWrap/>
            <w:vAlign w:val="center"/>
          </w:tcPr>
          <w:p w14:paraId="4ABA977F">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65,18</w:t>
            </w:r>
          </w:p>
        </w:tc>
        <w:tc>
          <w:tcPr>
            <w:tcW w:w="1392" w:type="dxa"/>
            <w:tcBorders>
              <w:top w:val="nil"/>
              <w:left w:val="nil"/>
              <w:bottom w:val="single" w:color="auto" w:sz="4" w:space="0"/>
              <w:right w:val="single" w:color="auto" w:sz="4" w:space="0"/>
            </w:tcBorders>
            <w:shd w:val="clear" w:color="auto" w:fill="auto"/>
            <w:noWrap/>
            <w:vAlign w:val="center"/>
          </w:tcPr>
          <w:p w14:paraId="11FB7576">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90,33</w:t>
            </w:r>
          </w:p>
        </w:tc>
      </w:tr>
      <w:tr w14:paraId="09FA4174">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0017F7B8">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w:t>
            </w:r>
          </w:p>
        </w:tc>
        <w:tc>
          <w:tcPr>
            <w:tcW w:w="2409" w:type="dxa"/>
            <w:tcBorders>
              <w:top w:val="nil"/>
              <w:left w:val="nil"/>
              <w:bottom w:val="single" w:color="auto" w:sz="4" w:space="0"/>
              <w:right w:val="single" w:color="auto" w:sz="4" w:space="0"/>
            </w:tcBorders>
            <w:shd w:val="clear" w:color="auto" w:fill="auto"/>
            <w:vAlign w:val="center"/>
          </w:tcPr>
          <w:p w14:paraId="0915220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«Стимулирование развития жилищного строительства»</w:t>
            </w:r>
          </w:p>
        </w:tc>
        <w:tc>
          <w:tcPr>
            <w:tcW w:w="1276" w:type="dxa"/>
            <w:tcBorders>
              <w:top w:val="nil"/>
              <w:left w:val="nil"/>
              <w:bottom w:val="single" w:color="auto" w:sz="4" w:space="0"/>
              <w:right w:val="single" w:color="auto" w:sz="4" w:space="0"/>
            </w:tcBorders>
            <w:shd w:val="clear" w:color="auto" w:fill="auto"/>
            <w:vAlign w:val="center"/>
          </w:tcPr>
          <w:p w14:paraId="4F0C3F2D">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60,00</w:t>
            </w:r>
          </w:p>
        </w:tc>
        <w:tc>
          <w:tcPr>
            <w:tcW w:w="1418" w:type="dxa"/>
            <w:tcBorders>
              <w:top w:val="nil"/>
              <w:left w:val="nil"/>
              <w:bottom w:val="single" w:color="auto" w:sz="4" w:space="0"/>
              <w:right w:val="single" w:color="auto" w:sz="4" w:space="0"/>
            </w:tcBorders>
            <w:shd w:val="clear" w:color="auto" w:fill="auto"/>
            <w:vAlign w:val="center"/>
          </w:tcPr>
          <w:p w14:paraId="2E57341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466,67</w:t>
            </w:r>
          </w:p>
        </w:tc>
        <w:tc>
          <w:tcPr>
            <w:tcW w:w="1275" w:type="dxa"/>
            <w:tcBorders>
              <w:top w:val="nil"/>
              <w:left w:val="nil"/>
              <w:bottom w:val="single" w:color="auto" w:sz="4" w:space="0"/>
              <w:right w:val="single" w:color="auto" w:sz="4" w:space="0"/>
            </w:tcBorders>
            <w:shd w:val="clear" w:color="auto" w:fill="auto"/>
            <w:vAlign w:val="center"/>
          </w:tcPr>
          <w:p w14:paraId="684CB96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276" w:type="dxa"/>
            <w:tcBorders>
              <w:top w:val="nil"/>
              <w:left w:val="nil"/>
              <w:bottom w:val="single" w:color="auto" w:sz="4" w:space="0"/>
              <w:right w:val="single" w:color="auto" w:sz="4" w:space="0"/>
            </w:tcBorders>
            <w:shd w:val="clear" w:color="auto" w:fill="auto"/>
            <w:noWrap/>
            <w:vAlign w:val="center"/>
          </w:tcPr>
          <w:p w14:paraId="4728810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392" w:type="dxa"/>
            <w:tcBorders>
              <w:top w:val="nil"/>
              <w:left w:val="nil"/>
              <w:bottom w:val="single" w:color="auto" w:sz="4" w:space="0"/>
              <w:right w:val="single" w:color="auto" w:sz="4" w:space="0"/>
            </w:tcBorders>
            <w:shd w:val="clear" w:color="auto" w:fill="auto"/>
            <w:noWrap/>
            <w:vAlign w:val="center"/>
          </w:tcPr>
          <w:p w14:paraId="345FA63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r>
      <w:tr w14:paraId="0A01AE71">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519FEB00">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10</w:t>
            </w:r>
          </w:p>
        </w:tc>
        <w:tc>
          <w:tcPr>
            <w:tcW w:w="2409" w:type="dxa"/>
            <w:tcBorders>
              <w:top w:val="nil"/>
              <w:left w:val="nil"/>
              <w:bottom w:val="single" w:color="auto" w:sz="4" w:space="0"/>
              <w:right w:val="single" w:color="auto" w:sz="4" w:space="0"/>
            </w:tcBorders>
            <w:shd w:val="clear" w:color="auto" w:fill="auto"/>
            <w:vAlign w:val="center"/>
          </w:tcPr>
          <w:p w14:paraId="3A4053F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«Комплексное развитие дорожной инфраструктуры Ахтубинского района»</w:t>
            </w:r>
          </w:p>
        </w:tc>
        <w:tc>
          <w:tcPr>
            <w:tcW w:w="1276" w:type="dxa"/>
            <w:tcBorders>
              <w:top w:val="nil"/>
              <w:left w:val="nil"/>
              <w:bottom w:val="single" w:color="auto" w:sz="4" w:space="0"/>
              <w:right w:val="single" w:color="auto" w:sz="4" w:space="0"/>
            </w:tcBorders>
            <w:shd w:val="clear" w:color="auto" w:fill="auto"/>
            <w:vAlign w:val="center"/>
          </w:tcPr>
          <w:p w14:paraId="1987791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351,09</w:t>
            </w:r>
          </w:p>
        </w:tc>
        <w:tc>
          <w:tcPr>
            <w:tcW w:w="1418" w:type="dxa"/>
            <w:tcBorders>
              <w:top w:val="nil"/>
              <w:left w:val="nil"/>
              <w:bottom w:val="single" w:color="auto" w:sz="4" w:space="0"/>
              <w:right w:val="single" w:color="auto" w:sz="4" w:space="0"/>
            </w:tcBorders>
            <w:shd w:val="clear" w:color="auto" w:fill="auto"/>
            <w:vAlign w:val="center"/>
          </w:tcPr>
          <w:p w14:paraId="57AE8D89">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93 822,76</w:t>
            </w:r>
          </w:p>
        </w:tc>
        <w:tc>
          <w:tcPr>
            <w:tcW w:w="1275" w:type="dxa"/>
            <w:tcBorders>
              <w:top w:val="nil"/>
              <w:left w:val="nil"/>
              <w:bottom w:val="single" w:color="auto" w:sz="4" w:space="0"/>
              <w:right w:val="single" w:color="auto" w:sz="4" w:space="0"/>
            </w:tcBorders>
            <w:shd w:val="clear" w:color="auto" w:fill="auto"/>
            <w:vAlign w:val="center"/>
          </w:tcPr>
          <w:p w14:paraId="457C63C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2 971,34</w:t>
            </w:r>
          </w:p>
        </w:tc>
        <w:tc>
          <w:tcPr>
            <w:tcW w:w="1276" w:type="dxa"/>
            <w:tcBorders>
              <w:top w:val="nil"/>
              <w:left w:val="nil"/>
              <w:bottom w:val="single" w:color="auto" w:sz="4" w:space="0"/>
              <w:right w:val="single" w:color="auto" w:sz="4" w:space="0"/>
            </w:tcBorders>
            <w:shd w:val="clear" w:color="auto" w:fill="auto"/>
            <w:noWrap/>
            <w:vAlign w:val="center"/>
          </w:tcPr>
          <w:p w14:paraId="756028A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3,17</w:t>
            </w:r>
          </w:p>
        </w:tc>
        <w:tc>
          <w:tcPr>
            <w:tcW w:w="1392" w:type="dxa"/>
            <w:tcBorders>
              <w:top w:val="nil"/>
              <w:left w:val="nil"/>
              <w:bottom w:val="single" w:color="auto" w:sz="4" w:space="0"/>
              <w:right w:val="single" w:color="auto" w:sz="4" w:space="0"/>
            </w:tcBorders>
            <w:shd w:val="clear" w:color="auto" w:fill="auto"/>
            <w:noWrap/>
            <w:vAlign w:val="center"/>
          </w:tcPr>
          <w:p w14:paraId="1570A26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846,31</w:t>
            </w:r>
          </w:p>
        </w:tc>
      </w:tr>
      <w:tr w14:paraId="17392A8C">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749EDAAA">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11</w:t>
            </w:r>
          </w:p>
        </w:tc>
        <w:tc>
          <w:tcPr>
            <w:tcW w:w="2409" w:type="dxa"/>
            <w:tcBorders>
              <w:top w:val="nil"/>
              <w:left w:val="nil"/>
              <w:bottom w:val="single" w:color="auto" w:sz="4" w:space="0"/>
              <w:right w:val="single" w:color="auto" w:sz="4" w:space="0"/>
            </w:tcBorders>
            <w:shd w:val="clear" w:color="auto" w:fill="auto"/>
            <w:vAlign w:val="center"/>
          </w:tcPr>
          <w:p w14:paraId="3ACB017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«Создание условий для функционирования органов местного самоуправления муниципального образования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1136509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9 542,63</w:t>
            </w:r>
          </w:p>
        </w:tc>
        <w:tc>
          <w:tcPr>
            <w:tcW w:w="1418" w:type="dxa"/>
            <w:tcBorders>
              <w:top w:val="nil"/>
              <w:left w:val="nil"/>
              <w:bottom w:val="single" w:color="auto" w:sz="4" w:space="0"/>
              <w:right w:val="single" w:color="auto" w:sz="4" w:space="0"/>
            </w:tcBorders>
            <w:shd w:val="clear" w:color="auto" w:fill="auto"/>
            <w:vAlign w:val="center"/>
          </w:tcPr>
          <w:p w14:paraId="7C35FEA5">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41 327,33</w:t>
            </w:r>
          </w:p>
        </w:tc>
        <w:tc>
          <w:tcPr>
            <w:tcW w:w="1275" w:type="dxa"/>
            <w:tcBorders>
              <w:top w:val="nil"/>
              <w:left w:val="nil"/>
              <w:bottom w:val="single" w:color="auto" w:sz="4" w:space="0"/>
              <w:right w:val="single" w:color="auto" w:sz="4" w:space="0"/>
            </w:tcBorders>
            <w:shd w:val="clear" w:color="auto" w:fill="auto"/>
            <w:vAlign w:val="center"/>
          </w:tcPr>
          <w:p w14:paraId="1E12061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9 061,61</w:t>
            </w:r>
          </w:p>
        </w:tc>
        <w:tc>
          <w:tcPr>
            <w:tcW w:w="1276" w:type="dxa"/>
            <w:tcBorders>
              <w:top w:val="nil"/>
              <w:left w:val="nil"/>
              <w:bottom w:val="single" w:color="auto" w:sz="4" w:space="0"/>
              <w:right w:val="single" w:color="auto" w:sz="4" w:space="0"/>
            </w:tcBorders>
            <w:shd w:val="clear" w:color="auto" w:fill="auto"/>
            <w:noWrap/>
            <w:vAlign w:val="center"/>
          </w:tcPr>
          <w:p w14:paraId="6783B481">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21,93</w:t>
            </w:r>
          </w:p>
        </w:tc>
        <w:tc>
          <w:tcPr>
            <w:tcW w:w="1392" w:type="dxa"/>
            <w:tcBorders>
              <w:top w:val="nil"/>
              <w:left w:val="nil"/>
              <w:bottom w:val="single" w:color="auto" w:sz="4" w:space="0"/>
              <w:right w:val="single" w:color="auto" w:sz="4" w:space="0"/>
            </w:tcBorders>
            <w:shd w:val="clear" w:color="auto" w:fill="auto"/>
            <w:noWrap/>
            <w:vAlign w:val="center"/>
          </w:tcPr>
          <w:p w14:paraId="05152EC5">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94,96</w:t>
            </w:r>
          </w:p>
        </w:tc>
      </w:tr>
      <w:tr w14:paraId="2224F38D">
        <w:tblPrEx>
          <w:tblCellMar>
            <w:top w:w="0" w:type="dxa"/>
            <w:left w:w="108" w:type="dxa"/>
            <w:bottom w:w="0" w:type="dxa"/>
            <w:right w:w="108" w:type="dxa"/>
          </w:tblCellMar>
        </w:tblPrEx>
        <w:trPr>
          <w:trHeight w:val="51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C0311E6">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12</w:t>
            </w:r>
          </w:p>
        </w:tc>
        <w:tc>
          <w:tcPr>
            <w:tcW w:w="2409" w:type="dxa"/>
            <w:tcBorders>
              <w:top w:val="nil"/>
              <w:left w:val="nil"/>
              <w:bottom w:val="single" w:color="auto" w:sz="4" w:space="0"/>
              <w:right w:val="single" w:color="auto" w:sz="4" w:space="0"/>
            </w:tcBorders>
            <w:shd w:val="clear" w:color="auto" w:fill="auto"/>
            <w:vAlign w:val="center"/>
          </w:tcPr>
          <w:p w14:paraId="7B930DF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«Повышение эффективности управления муниципальными финансами»</w:t>
            </w:r>
          </w:p>
        </w:tc>
        <w:tc>
          <w:tcPr>
            <w:tcW w:w="1276" w:type="dxa"/>
            <w:tcBorders>
              <w:top w:val="nil"/>
              <w:left w:val="nil"/>
              <w:bottom w:val="single" w:color="auto" w:sz="4" w:space="0"/>
              <w:right w:val="single" w:color="auto" w:sz="4" w:space="0"/>
            </w:tcBorders>
            <w:shd w:val="clear" w:color="auto" w:fill="auto"/>
            <w:vAlign w:val="center"/>
          </w:tcPr>
          <w:p w14:paraId="20571AFC">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21 978,82</w:t>
            </w:r>
          </w:p>
        </w:tc>
        <w:tc>
          <w:tcPr>
            <w:tcW w:w="1418" w:type="dxa"/>
            <w:tcBorders>
              <w:top w:val="nil"/>
              <w:left w:val="nil"/>
              <w:bottom w:val="single" w:color="auto" w:sz="4" w:space="0"/>
              <w:right w:val="single" w:color="auto" w:sz="4" w:space="0"/>
            </w:tcBorders>
            <w:shd w:val="clear" w:color="auto" w:fill="auto"/>
            <w:vAlign w:val="center"/>
          </w:tcPr>
          <w:p w14:paraId="6ADE55E6">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93 437,69</w:t>
            </w:r>
          </w:p>
        </w:tc>
        <w:tc>
          <w:tcPr>
            <w:tcW w:w="1275" w:type="dxa"/>
            <w:tcBorders>
              <w:top w:val="nil"/>
              <w:left w:val="nil"/>
              <w:bottom w:val="single" w:color="auto" w:sz="4" w:space="0"/>
              <w:right w:val="single" w:color="auto" w:sz="4" w:space="0"/>
            </w:tcBorders>
            <w:shd w:val="clear" w:color="auto" w:fill="auto"/>
            <w:vAlign w:val="center"/>
          </w:tcPr>
          <w:p w14:paraId="16B68EAF">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30 074,58</w:t>
            </w:r>
          </w:p>
        </w:tc>
        <w:tc>
          <w:tcPr>
            <w:tcW w:w="1276" w:type="dxa"/>
            <w:tcBorders>
              <w:top w:val="nil"/>
              <w:left w:val="nil"/>
              <w:bottom w:val="single" w:color="auto" w:sz="4" w:space="0"/>
              <w:right w:val="single" w:color="auto" w:sz="4" w:space="0"/>
            </w:tcBorders>
            <w:shd w:val="clear" w:color="auto" w:fill="auto"/>
            <w:noWrap/>
            <w:vAlign w:val="center"/>
          </w:tcPr>
          <w:p w14:paraId="3B5F673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32,19</w:t>
            </w:r>
          </w:p>
        </w:tc>
        <w:tc>
          <w:tcPr>
            <w:tcW w:w="1392" w:type="dxa"/>
            <w:tcBorders>
              <w:top w:val="nil"/>
              <w:left w:val="nil"/>
              <w:bottom w:val="single" w:color="auto" w:sz="4" w:space="0"/>
              <w:right w:val="single" w:color="auto" w:sz="4" w:space="0"/>
            </w:tcBorders>
            <w:shd w:val="clear" w:color="auto" w:fill="auto"/>
            <w:noWrap/>
            <w:vAlign w:val="center"/>
          </w:tcPr>
          <w:p w14:paraId="014781D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136,83</w:t>
            </w:r>
          </w:p>
        </w:tc>
      </w:tr>
      <w:tr w14:paraId="32230816">
        <w:tblPrEx>
          <w:tblCellMar>
            <w:top w:w="0" w:type="dxa"/>
            <w:left w:w="108" w:type="dxa"/>
            <w:bottom w:w="0" w:type="dxa"/>
            <w:right w:w="108" w:type="dxa"/>
          </w:tblCellMar>
        </w:tblPrEx>
        <w:trPr>
          <w:trHeight w:val="102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78F7E9D3">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13</w:t>
            </w:r>
          </w:p>
        </w:tc>
        <w:tc>
          <w:tcPr>
            <w:tcW w:w="2409" w:type="dxa"/>
            <w:tcBorders>
              <w:top w:val="nil"/>
              <w:left w:val="nil"/>
              <w:bottom w:val="single" w:color="auto" w:sz="4" w:space="0"/>
              <w:right w:val="single" w:color="auto" w:sz="4" w:space="0"/>
            </w:tcBorders>
            <w:shd w:val="clear" w:color="auto" w:fill="auto"/>
            <w:vAlign w:val="center"/>
          </w:tcPr>
          <w:p w14:paraId="51E523B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tc>
        <w:tc>
          <w:tcPr>
            <w:tcW w:w="1276" w:type="dxa"/>
            <w:tcBorders>
              <w:top w:val="nil"/>
              <w:left w:val="nil"/>
              <w:bottom w:val="single" w:color="auto" w:sz="4" w:space="0"/>
              <w:right w:val="single" w:color="auto" w:sz="4" w:space="0"/>
            </w:tcBorders>
            <w:shd w:val="clear" w:color="auto" w:fill="auto"/>
            <w:vAlign w:val="center"/>
          </w:tcPr>
          <w:p w14:paraId="678FDAF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720,59</w:t>
            </w:r>
          </w:p>
        </w:tc>
        <w:tc>
          <w:tcPr>
            <w:tcW w:w="1418" w:type="dxa"/>
            <w:tcBorders>
              <w:top w:val="nil"/>
              <w:left w:val="nil"/>
              <w:bottom w:val="single" w:color="auto" w:sz="4" w:space="0"/>
              <w:right w:val="single" w:color="auto" w:sz="4" w:space="0"/>
            </w:tcBorders>
            <w:shd w:val="clear" w:color="auto" w:fill="auto"/>
            <w:vAlign w:val="center"/>
          </w:tcPr>
          <w:p w14:paraId="21E220A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2 926,41</w:t>
            </w:r>
          </w:p>
        </w:tc>
        <w:tc>
          <w:tcPr>
            <w:tcW w:w="1275" w:type="dxa"/>
            <w:tcBorders>
              <w:top w:val="nil"/>
              <w:left w:val="nil"/>
              <w:bottom w:val="single" w:color="auto" w:sz="4" w:space="0"/>
              <w:right w:val="single" w:color="auto" w:sz="4" w:space="0"/>
            </w:tcBorders>
            <w:shd w:val="clear" w:color="auto" w:fill="auto"/>
            <w:vAlign w:val="center"/>
          </w:tcPr>
          <w:p w14:paraId="47F389E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0,00</w:t>
            </w:r>
          </w:p>
        </w:tc>
        <w:tc>
          <w:tcPr>
            <w:tcW w:w="1276" w:type="dxa"/>
            <w:tcBorders>
              <w:top w:val="nil"/>
              <w:left w:val="nil"/>
              <w:bottom w:val="single" w:color="auto" w:sz="4" w:space="0"/>
              <w:right w:val="single" w:color="auto" w:sz="4" w:space="0"/>
            </w:tcBorders>
            <w:shd w:val="clear" w:color="auto" w:fill="auto"/>
            <w:noWrap/>
            <w:vAlign w:val="center"/>
          </w:tcPr>
          <w:p w14:paraId="6E7EB8E9">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c>
          <w:tcPr>
            <w:tcW w:w="1392" w:type="dxa"/>
            <w:tcBorders>
              <w:top w:val="nil"/>
              <w:left w:val="nil"/>
              <w:bottom w:val="single" w:color="auto" w:sz="4" w:space="0"/>
              <w:right w:val="single" w:color="auto" w:sz="4" w:space="0"/>
            </w:tcBorders>
            <w:shd w:val="clear" w:color="auto" w:fill="auto"/>
            <w:noWrap/>
            <w:vAlign w:val="center"/>
          </w:tcPr>
          <w:p w14:paraId="0E2BC3F9">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0,00</w:t>
            </w:r>
          </w:p>
        </w:tc>
      </w:tr>
      <w:tr w14:paraId="66B138C8">
        <w:tblPrEx>
          <w:tblCellMar>
            <w:top w:w="0" w:type="dxa"/>
            <w:left w:w="108" w:type="dxa"/>
            <w:bottom w:w="0" w:type="dxa"/>
            <w:right w:w="108" w:type="dxa"/>
          </w:tblCellMar>
        </w:tblPrEx>
        <w:trPr>
          <w:trHeight w:val="765"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FD7322">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14</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F7AF28F">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«Реализация функций органов местного самоуправления муниципального образования «Ахтубинский район»</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110C11">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8 698,66</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5F74DF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52 597,52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94B84E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8 114,18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5A27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15,43</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8D3D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93,28</w:t>
            </w:r>
          </w:p>
        </w:tc>
      </w:tr>
      <w:tr w14:paraId="53F1C16B">
        <w:tblPrEx>
          <w:tblCellMar>
            <w:top w:w="0" w:type="dxa"/>
            <w:left w:w="108" w:type="dxa"/>
            <w:bottom w:w="0" w:type="dxa"/>
            <w:right w:w="108" w:type="dxa"/>
          </w:tblCellMar>
        </w:tblPrEx>
        <w:trPr>
          <w:trHeight w:val="510" w:hRule="atLeast"/>
        </w:trPr>
        <w:tc>
          <w:tcPr>
            <w:tcW w:w="44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9F3897">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15</w:t>
            </w:r>
          </w:p>
        </w:tc>
        <w:tc>
          <w:tcPr>
            <w:tcW w:w="2409" w:type="dxa"/>
            <w:tcBorders>
              <w:top w:val="single" w:color="auto" w:sz="4" w:space="0"/>
              <w:left w:val="nil"/>
              <w:bottom w:val="single" w:color="auto" w:sz="4" w:space="0"/>
              <w:right w:val="single" w:color="auto" w:sz="4" w:space="0"/>
            </w:tcBorders>
            <w:shd w:val="clear" w:color="auto" w:fill="auto"/>
            <w:vAlign w:val="center"/>
          </w:tcPr>
          <w:p w14:paraId="686047F6">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МП «Обеспечение безопасности жизнедеятельности населения Ахтубинского района»</w:t>
            </w:r>
          </w:p>
        </w:tc>
        <w:tc>
          <w:tcPr>
            <w:tcW w:w="1276" w:type="dxa"/>
            <w:tcBorders>
              <w:top w:val="single" w:color="auto" w:sz="4" w:space="0"/>
              <w:left w:val="nil"/>
              <w:bottom w:val="single" w:color="auto" w:sz="4" w:space="0"/>
              <w:right w:val="single" w:color="auto" w:sz="4" w:space="0"/>
            </w:tcBorders>
            <w:shd w:val="clear" w:color="auto" w:fill="auto"/>
            <w:vAlign w:val="center"/>
          </w:tcPr>
          <w:p w14:paraId="4C66702B">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0,00</w:t>
            </w:r>
          </w:p>
        </w:tc>
        <w:tc>
          <w:tcPr>
            <w:tcW w:w="1418" w:type="dxa"/>
            <w:tcBorders>
              <w:top w:val="single" w:color="auto" w:sz="4" w:space="0"/>
              <w:left w:val="nil"/>
              <w:bottom w:val="single" w:color="auto" w:sz="4" w:space="0"/>
              <w:right w:val="single" w:color="auto" w:sz="4" w:space="0"/>
            </w:tcBorders>
            <w:shd w:val="clear" w:color="auto" w:fill="auto"/>
            <w:vAlign w:val="center"/>
          </w:tcPr>
          <w:p w14:paraId="293DD29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1 118,64</w:t>
            </w:r>
          </w:p>
        </w:tc>
        <w:tc>
          <w:tcPr>
            <w:tcW w:w="1275" w:type="dxa"/>
            <w:tcBorders>
              <w:top w:val="single" w:color="auto" w:sz="4" w:space="0"/>
              <w:left w:val="nil"/>
              <w:bottom w:val="single" w:color="auto" w:sz="4" w:space="0"/>
              <w:right w:val="single" w:color="auto" w:sz="4" w:space="0"/>
            </w:tcBorders>
            <w:shd w:val="clear" w:color="auto" w:fill="auto"/>
            <w:vAlign w:val="center"/>
          </w:tcPr>
          <w:p w14:paraId="583EBA2D">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35,92</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ACAC5C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3,21</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02FA1A4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х</w:t>
            </w:r>
          </w:p>
        </w:tc>
      </w:tr>
      <w:tr w14:paraId="5A04C0FB">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150CDDF4">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16</w:t>
            </w:r>
          </w:p>
        </w:tc>
        <w:tc>
          <w:tcPr>
            <w:tcW w:w="2409" w:type="dxa"/>
            <w:tcBorders>
              <w:top w:val="nil"/>
              <w:left w:val="nil"/>
              <w:bottom w:val="single" w:color="auto" w:sz="4" w:space="0"/>
              <w:right w:val="single" w:color="auto" w:sz="4" w:space="0"/>
            </w:tcBorders>
            <w:shd w:val="clear" w:color="auto" w:fill="auto"/>
            <w:vAlign w:val="center"/>
          </w:tcPr>
          <w:p w14:paraId="4068FED8">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МП «Совершенствование системы управления муниципальной собственностью </w:t>
            </w:r>
            <w:r>
              <w:rPr>
                <w:rFonts w:eastAsia="SimSun"/>
                <w:color w:val="000000" w:themeColor="text1"/>
                <w:sz w:val="20"/>
                <w:szCs w:val="20"/>
                <w:lang w:val="en-US" w:eastAsia="zh-CN" w:bidi="ar"/>
                <w14:textFill>
                  <w14:solidFill>
                    <w14:schemeClr w14:val="tx1"/>
                  </w14:solidFill>
                </w14:textFill>
              </w:rPr>
              <w:t>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0F197925">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910,23</w:t>
            </w:r>
          </w:p>
        </w:tc>
        <w:tc>
          <w:tcPr>
            <w:tcW w:w="1418" w:type="dxa"/>
            <w:tcBorders>
              <w:top w:val="nil"/>
              <w:left w:val="nil"/>
              <w:bottom w:val="single" w:color="auto" w:sz="4" w:space="0"/>
              <w:right w:val="single" w:color="auto" w:sz="4" w:space="0"/>
            </w:tcBorders>
            <w:shd w:val="clear" w:color="auto" w:fill="auto"/>
            <w:vAlign w:val="center"/>
          </w:tcPr>
          <w:p w14:paraId="180D7F2F">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6 125,02</w:t>
            </w:r>
          </w:p>
        </w:tc>
        <w:tc>
          <w:tcPr>
            <w:tcW w:w="1275" w:type="dxa"/>
            <w:tcBorders>
              <w:top w:val="nil"/>
              <w:left w:val="nil"/>
              <w:bottom w:val="single" w:color="auto" w:sz="4" w:space="0"/>
              <w:right w:val="single" w:color="auto" w:sz="4" w:space="0"/>
            </w:tcBorders>
            <w:shd w:val="clear" w:color="auto" w:fill="auto"/>
            <w:vAlign w:val="center"/>
          </w:tcPr>
          <w:p w14:paraId="5B5750D6">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959,55</w:t>
            </w:r>
          </w:p>
        </w:tc>
        <w:tc>
          <w:tcPr>
            <w:tcW w:w="1276" w:type="dxa"/>
            <w:tcBorders>
              <w:top w:val="nil"/>
              <w:left w:val="nil"/>
              <w:bottom w:val="single" w:color="auto" w:sz="4" w:space="0"/>
              <w:right w:val="single" w:color="auto" w:sz="4" w:space="0"/>
            </w:tcBorders>
            <w:shd w:val="clear" w:color="auto" w:fill="auto"/>
            <w:noWrap/>
            <w:vAlign w:val="center"/>
          </w:tcPr>
          <w:p w14:paraId="1A89935D">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15,67</w:t>
            </w:r>
          </w:p>
        </w:tc>
        <w:tc>
          <w:tcPr>
            <w:tcW w:w="1392" w:type="dxa"/>
            <w:tcBorders>
              <w:top w:val="nil"/>
              <w:left w:val="nil"/>
              <w:bottom w:val="single" w:color="auto" w:sz="4" w:space="0"/>
              <w:right w:val="single" w:color="auto" w:sz="4" w:space="0"/>
            </w:tcBorders>
            <w:shd w:val="clear" w:color="auto" w:fill="auto"/>
            <w:noWrap/>
            <w:vAlign w:val="center"/>
          </w:tcPr>
          <w:p w14:paraId="17B55B0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105,42</w:t>
            </w:r>
          </w:p>
        </w:tc>
      </w:tr>
      <w:tr w14:paraId="2E9FCEE2">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D387073">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17</w:t>
            </w:r>
          </w:p>
        </w:tc>
        <w:tc>
          <w:tcPr>
            <w:tcW w:w="2409" w:type="dxa"/>
            <w:tcBorders>
              <w:top w:val="nil"/>
              <w:left w:val="nil"/>
              <w:bottom w:val="single" w:color="auto" w:sz="4" w:space="0"/>
              <w:right w:val="single" w:color="auto" w:sz="4" w:space="0"/>
            </w:tcBorders>
            <w:shd w:val="clear" w:color="auto" w:fill="auto"/>
            <w:vAlign w:val="center"/>
          </w:tcPr>
          <w:p w14:paraId="7B190463">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Иные непрограммные мероприятия</w:t>
            </w:r>
          </w:p>
        </w:tc>
        <w:tc>
          <w:tcPr>
            <w:tcW w:w="1276" w:type="dxa"/>
            <w:tcBorders>
              <w:top w:val="nil"/>
              <w:left w:val="nil"/>
              <w:bottom w:val="single" w:color="auto" w:sz="4" w:space="0"/>
              <w:right w:val="single" w:color="auto" w:sz="4" w:space="0"/>
            </w:tcBorders>
            <w:shd w:val="clear" w:color="auto" w:fill="auto"/>
            <w:vAlign w:val="center"/>
          </w:tcPr>
          <w:p w14:paraId="0E87D035">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1 641,38</w:t>
            </w:r>
          </w:p>
        </w:tc>
        <w:tc>
          <w:tcPr>
            <w:tcW w:w="1418" w:type="dxa"/>
            <w:tcBorders>
              <w:top w:val="nil"/>
              <w:left w:val="nil"/>
              <w:bottom w:val="single" w:color="auto" w:sz="4" w:space="0"/>
              <w:right w:val="single" w:color="auto" w:sz="4" w:space="0"/>
            </w:tcBorders>
            <w:shd w:val="clear" w:color="auto" w:fill="auto"/>
            <w:vAlign w:val="center"/>
          </w:tcPr>
          <w:p w14:paraId="0B7634F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35 493,88</w:t>
            </w:r>
          </w:p>
        </w:tc>
        <w:tc>
          <w:tcPr>
            <w:tcW w:w="1275" w:type="dxa"/>
            <w:tcBorders>
              <w:top w:val="nil"/>
              <w:left w:val="nil"/>
              <w:bottom w:val="single" w:color="auto" w:sz="4" w:space="0"/>
              <w:right w:val="single" w:color="auto" w:sz="4" w:space="0"/>
            </w:tcBorders>
            <w:shd w:val="clear" w:color="auto" w:fill="auto"/>
            <w:vAlign w:val="center"/>
          </w:tcPr>
          <w:p w14:paraId="7471DE2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1 438,93</w:t>
            </w:r>
          </w:p>
        </w:tc>
        <w:tc>
          <w:tcPr>
            <w:tcW w:w="1276" w:type="dxa"/>
            <w:tcBorders>
              <w:top w:val="nil"/>
              <w:left w:val="nil"/>
              <w:bottom w:val="single" w:color="auto" w:sz="4" w:space="0"/>
              <w:right w:val="single" w:color="auto" w:sz="4" w:space="0"/>
            </w:tcBorders>
            <w:shd w:val="clear" w:color="auto" w:fill="auto"/>
            <w:noWrap/>
            <w:vAlign w:val="center"/>
          </w:tcPr>
          <w:p w14:paraId="3F2B939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4,05</w:t>
            </w:r>
          </w:p>
        </w:tc>
        <w:tc>
          <w:tcPr>
            <w:tcW w:w="1392" w:type="dxa"/>
            <w:tcBorders>
              <w:top w:val="nil"/>
              <w:left w:val="nil"/>
              <w:bottom w:val="single" w:color="auto" w:sz="4" w:space="0"/>
              <w:right w:val="single" w:color="auto" w:sz="4" w:space="0"/>
            </w:tcBorders>
            <w:shd w:val="clear" w:color="auto" w:fill="auto"/>
            <w:noWrap/>
            <w:vAlign w:val="center"/>
          </w:tcPr>
          <w:p w14:paraId="3D6CDE42">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87,67</w:t>
            </w:r>
          </w:p>
        </w:tc>
      </w:tr>
      <w:tr w14:paraId="6CB86138">
        <w:tblPrEx>
          <w:tblCellMar>
            <w:top w:w="0" w:type="dxa"/>
            <w:left w:w="108" w:type="dxa"/>
            <w:bottom w:w="0" w:type="dxa"/>
            <w:right w:w="108" w:type="dxa"/>
          </w:tblCellMar>
        </w:tblPrEx>
        <w:trPr>
          <w:trHeight w:val="76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2F8C9644">
            <w:pPr>
              <w:jc w:val="center"/>
              <w:textAlignment w:val="bottom"/>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18</w:t>
            </w:r>
          </w:p>
        </w:tc>
        <w:tc>
          <w:tcPr>
            <w:tcW w:w="2409" w:type="dxa"/>
            <w:tcBorders>
              <w:top w:val="nil"/>
              <w:left w:val="nil"/>
              <w:bottom w:val="single" w:color="auto" w:sz="4" w:space="0"/>
              <w:right w:val="single" w:color="auto" w:sz="4" w:space="0"/>
            </w:tcBorders>
            <w:shd w:val="clear" w:color="auto" w:fill="auto"/>
            <w:vAlign w:val="center"/>
          </w:tcPr>
          <w:p w14:paraId="6562CFB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Непрограммное направление деятельности реализация функций органов местного самоуправления администрации МО «Ахтубинский район»</w:t>
            </w:r>
          </w:p>
        </w:tc>
        <w:tc>
          <w:tcPr>
            <w:tcW w:w="1276" w:type="dxa"/>
            <w:tcBorders>
              <w:top w:val="nil"/>
              <w:left w:val="nil"/>
              <w:bottom w:val="single" w:color="auto" w:sz="4" w:space="0"/>
              <w:right w:val="single" w:color="auto" w:sz="4" w:space="0"/>
            </w:tcBorders>
            <w:shd w:val="clear" w:color="auto" w:fill="auto"/>
            <w:vAlign w:val="center"/>
          </w:tcPr>
          <w:p w14:paraId="6ECB1C9A">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eastAsia="zh-CN" w:bidi="ar"/>
                <w14:textFill>
                  <w14:solidFill>
                    <w14:schemeClr w14:val="tx1"/>
                  </w14:solidFill>
                </w14:textFill>
              </w:rPr>
              <w:t xml:space="preserve"> </w:t>
            </w:r>
            <w:r>
              <w:rPr>
                <w:rFonts w:eastAsia="SimSun"/>
                <w:color w:val="000000" w:themeColor="text1"/>
                <w:sz w:val="20"/>
                <w:szCs w:val="20"/>
                <w:lang w:val="en-US" w:eastAsia="zh-CN" w:bidi="ar"/>
                <w14:textFill>
                  <w14:solidFill>
                    <w14:schemeClr w14:val="tx1"/>
                  </w14:solidFill>
                </w14:textFill>
              </w:rPr>
              <w:t>338,74</w:t>
            </w:r>
          </w:p>
        </w:tc>
        <w:tc>
          <w:tcPr>
            <w:tcW w:w="1418" w:type="dxa"/>
            <w:tcBorders>
              <w:top w:val="nil"/>
              <w:left w:val="nil"/>
              <w:bottom w:val="single" w:color="auto" w:sz="4" w:space="0"/>
              <w:right w:val="single" w:color="auto" w:sz="4" w:space="0"/>
            </w:tcBorders>
            <w:shd w:val="clear" w:color="auto" w:fill="auto"/>
            <w:vAlign w:val="center"/>
          </w:tcPr>
          <w:p w14:paraId="10152AA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3 316,69</w:t>
            </w:r>
          </w:p>
        </w:tc>
        <w:tc>
          <w:tcPr>
            <w:tcW w:w="1275" w:type="dxa"/>
            <w:tcBorders>
              <w:top w:val="nil"/>
              <w:left w:val="nil"/>
              <w:bottom w:val="single" w:color="auto" w:sz="4" w:space="0"/>
              <w:right w:val="single" w:color="auto" w:sz="4" w:space="0"/>
            </w:tcBorders>
            <w:shd w:val="clear" w:color="auto" w:fill="auto"/>
            <w:vAlign w:val="center"/>
          </w:tcPr>
          <w:p w14:paraId="0F22F6B4">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 xml:space="preserve"> 252,25</w:t>
            </w:r>
          </w:p>
        </w:tc>
        <w:tc>
          <w:tcPr>
            <w:tcW w:w="1276" w:type="dxa"/>
            <w:tcBorders>
              <w:top w:val="nil"/>
              <w:left w:val="nil"/>
              <w:bottom w:val="single" w:color="auto" w:sz="4" w:space="0"/>
              <w:right w:val="single" w:color="auto" w:sz="4" w:space="0"/>
            </w:tcBorders>
            <w:shd w:val="clear" w:color="auto" w:fill="auto"/>
            <w:noWrap/>
            <w:vAlign w:val="center"/>
          </w:tcPr>
          <w:p w14:paraId="0E000E80">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7,61</w:t>
            </w:r>
          </w:p>
        </w:tc>
        <w:tc>
          <w:tcPr>
            <w:tcW w:w="1392" w:type="dxa"/>
            <w:tcBorders>
              <w:top w:val="nil"/>
              <w:left w:val="nil"/>
              <w:bottom w:val="single" w:color="auto" w:sz="4" w:space="0"/>
              <w:right w:val="single" w:color="auto" w:sz="4" w:space="0"/>
            </w:tcBorders>
            <w:shd w:val="clear" w:color="auto" w:fill="auto"/>
            <w:noWrap/>
            <w:vAlign w:val="center"/>
          </w:tcPr>
          <w:p w14:paraId="52C5916E">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74,47</w:t>
            </w:r>
          </w:p>
        </w:tc>
      </w:tr>
      <w:tr w14:paraId="4CFEF048">
        <w:tblPrEx>
          <w:tblCellMar>
            <w:top w:w="0" w:type="dxa"/>
            <w:left w:w="108" w:type="dxa"/>
            <w:bottom w:w="0" w:type="dxa"/>
            <w:right w:w="108" w:type="dxa"/>
          </w:tblCellMar>
        </w:tblPrEx>
        <w:trPr>
          <w:trHeight w:val="3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064E40CD">
            <w:pPr>
              <w:jc w:val="center"/>
              <w:rPr>
                <w:color w:val="000000" w:themeColor="text1"/>
                <w:sz w:val="20"/>
                <w:szCs w:val="20"/>
                <w14:textFill>
                  <w14:solidFill>
                    <w14:schemeClr w14:val="tx1"/>
                  </w14:solidFill>
                </w14:textFill>
              </w:rPr>
            </w:pPr>
          </w:p>
        </w:tc>
        <w:tc>
          <w:tcPr>
            <w:tcW w:w="2409" w:type="dxa"/>
            <w:tcBorders>
              <w:top w:val="nil"/>
              <w:left w:val="nil"/>
              <w:bottom w:val="single" w:color="auto" w:sz="4" w:space="0"/>
              <w:right w:val="single" w:color="auto" w:sz="4" w:space="0"/>
            </w:tcBorders>
            <w:shd w:val="clear" w:color="auto" w:fill="auto"/>
            <w:vAlign w:val="center"/>
          </w:tcPr>
          <w:p w14:paraId="48C8C567">
            <w:pPr>
              <w:jc w:val="center"/>
              <w:textAlignment w:val="center"/>
              <w:rPr>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ИТОГО:</w:t>
            </w:r>
          </w:p>
        </w:tc>
        <w:tc>
          <w:tcPr>
            <w:tcW w:w="1276" w:type="dxa"/>
            <w:tcBorders>
              <w:top w:val="nil"/>
              <w:left w:val="nil"/>
              <w:bottom w:val="single" w:color="auto" w:sz="4" w:space="0"/>
              <w:right w:val="single" w:color="auto" w:sz="4" w:space="0"/>
            </w:tcBorders>
            <w:shd w:val="clear" w:color="auto" w:fill="auto"/>
            <w:vAlign w:val="center"/>
          </w:tcPr>
          <w:p w14:paraId="4B614814">
            <w:pPr>
              <w:jc w:val="center"/>
              <w:textAlignment w:val="center"/>
              <w:rPr>
                <w:b/>
                <w:bCs/>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408 789,85</w:t>
            </w:r>
          </w:p>
        </w:tc>
        <w:tc>
          <w:tcPr>
            <w:tcW w:w="1418" w:type="dxa"/>
            <w:tcBorders>
              <w:top w:val="nil"/>
              <w:left w:val="nil"/>
              <w:bottom w:val="single" w:color="auto" w:sz="4" w:space="0"/>
              <w:right w:val="single" w:color="auto" w:sz="4" w:space="0"/>
            </w:tcBorders>
            <w:shd w:val="clear" w:color="auto" w:fill="auto"/>
            <w:vAlign w:val="center"/>
          </w:tcPr>
          <w:p w14:paraId="58BFEF87">
            <w:pPr>
              <w:jc w:val="center"/>
              <w:textAlignment w:val="center"/>
              <w:rPr>
                <w:b/>
                <w:bCs/>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1803 920,88</w:t>
            </w:r>
          </w:p>
        </w:tc>
        <w:tc>
          <w:tcPr>
            <w:tcW w:w="1275" w:type="dxa"/>
            <w:tcBorders>
              <w:top w:val="nil"/>
              <w:left w:val="nil"/>
              <w:bottom w:val="single" w:color="auto" w:sz="4" w:space="0"/>
              <w:right w:val="single" w:color="auto" w:sz="4" w:space="0"/>
            </w:tcBorders>
            <w:shd w:val="clear" w:color="auto" w:fill="auto"/>
            <w:vAlign w:val="center"/>
          </w:tcPr>
          <w:p w14:paraId="6C5B154D">
            <w:pPr>
              <w:jc w:val="center"/>
              <w:textAlignment w:val="center"/>
              <w:rPr>
                <w:b/>
                <w:bCs/>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441 774,56</w:t>
            </w:r>
          </w:p>
        </w:tc>
        <w:tc>
          <w:tcPr>
            <w:tcW w:w="1276" w:type="dxa"/>
            <w:tcBorders>
              <w:top w:val="nil"/>
              <w:left w:val="nil"/>
              <w:bottom w:val="single" w:color="auto" w:sz="4" w:space="0"/>
              <w:right w:val="single" w:color="auto" w:sz="4" w:space="0"/>
            </w:tcBorders>
            <w:shd w:val="clear" w:color="auto" w:fill="auto"/>
            <w:noWrap/>
            <w:vAlign w:val="center"/>
          </w:tcPr>
          <w:p w14:paraId="7A4BE43B">
            <w:pPr>
              <w:jc w:val="center"/>
              <w:textAlignment w:val="center"/>
              <w:rPr>
                <w:b/>
                <w:bCs/>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24,49</w:t>
            </w:r>
            <w:bookmarkStart w:id="0" w:name="_GoBack"/>
            <w:bookmarkEnd w:id="0"/>
          </w:p>
        </w:tc>
        <w:tc>
          <w:tcPr>
            <w:tcW w:w="1392" w:type="dxa"/>
            <w:tcBorders>
              <w:top w:val="nil"/>
              <w:left w:val="nil"/>
              <w:bottom w:val="single" w:color="auto" w:sz="4" w:space="0"/>
              <w:right w:val="single" w:color="auto" w:sz="4" w:space="0"/>
            </w:tcBorders>
            <w:shd w:val="clear" w:color="auto" w:fill="auto"/>
            <w:noWrap/>
            <w:vAlign w:val="center"/>
          </w:tcPr>
          <w:p w14:paraId="3E67C0A9">
            <w:pPr>
              <w:jc w:val="center"/>
              <w:textAlignment w:val="center"/>
              <w:rPr>
                <w:b/>
                <w:bCs/>
                <w:color w:val="000000" w:themeColor="text1"/>
                <w:sz w:val="20"/>
                <w:szCs w:val="20"/>
                <w14:textFill>
                  <w14:solidFill>
                    <w14:schemeClr w14:val="tx1"/>
                  </w14:solidFill>
                </w14:textFill>
              </w:rPr>
            </w:pPr>
            <w:r>
              <w:rPr>
                <w:rFonts w:eastAsia="SimSun"/>
                <w:color w:val="000000" w:themeColor="text1"/>
                <w:sz w:val="20"/>
                <w:szCs w:val="20"/>
                <w:lang w:val="en-US" w:eastAsia="zh-CN" w:bidi="ar"/>
                <w14:textFill>
                  <w14:solidFill>
                    <w14:schemeClr w14:val="tx1"/>
                  </w14:solidFill>
                </w14:textFill>
              </w:rPr>
              <w:t>108,07</w:t>
            </w:r>
          </w:p>
        </w:tc>
      </w:tr>
    </w:tbl>
    <w:p w14:paraId="45D4E776">
      <w:pPr>
        <w:jc w:val="right"/>
        <w:rPr>
          <w:color w:val="376092" w:themeColor="accent1" w:themeShade="BF"/>
          <w:sz w:val="12"/>
          <w:szCs w:val="12"/>
          <w:highlight w:val="yellow"/>
        </w:rPr>
      </w:pPr>
    </w:p>
    <w:p w14:paraId="4D2D85AC">
      <w:pPr>
        <w:jc w:val="both"/>
        <w:rPr>
          <w:color w:val="000000" w:themeColor="text1"/>
          <w14:textFill>
            <w14:solidFill>
              <w14:schemeClr w14:val="tx1"/>
            </w14:solidFill>
          </w14:textFill>
        </w:rPr>
      </w:pPr>
      <w:r>
        <w:rPr>
          <w:b/>
          <w:color w:val="000000" w:themeColor="text1"/>
          <w14:textFill>
            <w14:solidFill>
              <w14:schemeClr w14:val="tx1"/>
            </w14:solidFill>
          </w14:textFill>
        </w:rPr>
        <w:t>Исполнение финансовых обязательств по муниципальным программам (далее - МП)</w:t>
      </w:r>
      <w:r>
        <w:rPr>
          <w:color w:val="000000" w:themeColor="text1"/>
          <w14:textFill>
            <w14:solidFill>
              <w14:schemeClr w14:val="tx1"/>
            </w14:solidFill>
          </w14:textFill>
        </w:rPr>
        <w:t>:</w:t>
      </w:r>
    </w:p>
    <w:p w14:paraId="764F6978">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«Развитие системы образования в МО «Ахтубинский район» исполнена на </w:t>
      </w:r>
      <w:r>
        <w:rPr>
          <w:b/>
          <w:color w:val="000000" w:themeColor="text1"/>
          <w14:textFill>
            <w14:solidFill>
              <w14:schemeClr w14:val="tx1"/>
            </w14:solidFill>
          </w14:textFill>
        </w:rPr>
        <w:t>22,94%</w:t>
      </w:r>
      <w:r>
        <w:rPr>
          <w:color w:val="000000" w:themeColor="text1"/>
          <w14:textFill>
            <w14:solidFill>
              <w14:schemeClr w14:val="tx1"/>
            </w14:solidFill>
          </w14:textFill>
        </w:rPr>
        <w:t xml:space="preserve"> или </w:t>
      </w:r>
      <w:r>
        <w:rPr>
          <w:bCs/>
          <w:color w:val="000000" w:themeColor="text1"/>
          <w14:textFill>
            <w14:solidFill>
              <w14:schemeClr w14:val="tx1"/>
            </w14:solidFill>
          </w14:textFill>
        </w:rPr>
        <w:t>251495,85</w:t>
      </w:r>
      <w:r>
        <w:rPr>
          <w:color w:val="000000" w:themeColor="text1"/>
          <w14:textFill>
            <w14:solidFill>
              <w14:schemeClr w14:val="tx1"/>
            </w14:solidFill>
          </w14:textFill>
        </w:rPr>
        <w:t xml:space="preserve"> тыс. руб., произведено финансирование дошкольных учреждений (66972,0 тыс. руб.), общеобразовательных учреждений (161760,2 тыс. руб.), учреждений дополнительного образования (3793,4 тыс. руб.) и учреждений подведомственных Управлению образования МО «Ахтубинский муниципальный район Астраханской области» (3144,8 тыс. руб.), развитие национального проекта «Молодежь и дети» (14437,8 тыс. руб.), Управления образования (1387,5 тыс. руб.);</w:t>
      </w:r>
    </w:p>
    <w:p w14:paraId="02719677">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«Обеспечение общественного порядка и противодействие преступности в Ахтубинском районе» исполнено на </w:t>
      </w:r>
      <w:r>
        <w:rPr>
          <w:b/>
          <w:color w:val="000000" w:themeColor="text1"/>
          <w14:textFill>
            <w14:solidFill>
              <w14:schemeClr w14:val="tx1"/>
            </w14:solidFill>
          </w14:textFill>
        </w:rPr>
        <w:t>8,61%</w:t>
      </w:r>
      <w:r>
        <w:rPr>
          <w:color w:val="000000" w:themeColor="text1"/>
          <w14:textFill>
            <w14:solidFill>
              <w14:schemeClr w14:val="tx1"/>
            </w14:solidFill>
          </w14:textFill>
        </w:rPr>
        <w:t xml:space="preserve"> или 1009,64 тыс. руб., произведены расходы на проведение цикла познавательных программ и тематических бесед по профилактике правонарушений с привлечением воспитанников учреждений социального обеспечения (1,3 тыс. руб.), техническое обслуживание тревожной сигнализации в учреждениях культуры (231,15 тыс. руб.), оснащение средствами технической защиты образовательных учреждений (520,6 тыс. руб.), оплату услуг ЧОП в образовательных учреждениях (255,9 тыс. руб.) и другие мероприятия;</w:t>
      </w:r>
    </w:p>
    <w:p w14:paraId="0E4B3B45">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«Развитие культуры и сохранение культурного наследия Ахтубинского района» исполнение </w:t>
      </w:r>
      <w:r>
        <w:rPr>
          <w:b/>
          <w:color w:val="000000" w:themeColor="text1"/>
          <w14:textFill>
            <w14:solidFill>
              <w14:schemeClr w14:val="tx1"/>
            </w14:solidFill>
          </w14:textFill>
        </w:rPr>
        <w:t>21,22 %</w:t>
      </w:r>
      <w:r>
        <w:rPr>
          <w:color w:val="000000" w:themeColor="text1"/>
          <w14:textFill>
            <w14:solidFill>
              <w14:schemeClr w14:val="tx1"/>
            </w14:solidFill>
          </w14:textFill>
        </w:rPr>
        <w:t xml:space="preserve"> (30955,26 тыс. руб.), произведено финансирование деятельности организаций клубных формирований (6094,5 тыс. руб.), укрепление материально-технической базы (1052,6 тыс. руб.), библиотек (2924,3 тыс. руб.), дополнительного образования (14130,0 тыс. руб.), выставочной деятельности и патриотического воспитания (610,1 тыс. руб.), развитие кинообслуживания (1278,5 тыс. руб.), обеспечения деятельности учреждений культуры (4137,7 тыс. руб.), управления культуры и кинофикации (728,9 тыс. руб.);</w:t>
      </w:r>
    </w:p>
    <w:p w14:paraId="4FCC9D4E">
      <w:pPr>
        <w:pStyle w:val="10"/>
        <w:numPr>
          <w:ilvl w:val="0"/>
          <w:numId w:val="2"/>
        </w:numPr>
        <w:ind w:left="0" w:firstLine="426"/>
        <w:jc w:val="both"/>
        <w:rPr>
          <w:color w:val="000000" w:themeColor="text1"/>
          <w14:textFill>
            <w14:solidFill>
              <w14:schemeClr w14:val="tx1"/>
            </w14:solidFill>
          </w14:textFill>
        </w:rPr>
      </w:pPr>
      <w:r>
        <w:rPr>
          <w:color w:val="000000" w:themeColor="text1"/>
          <w:lang w:eastAsia="zh-CN"/>
          <w14:textFill>
            <w14:solidFill>
              <w14:schemeClr w14:val="tx1"/>
            </w14:solidFill>
          </w14:textFill>
        </w:rPr>
        <w:t xml:space="preserve">МП «Охрана окружающей среды в МО «Ахтубинский район» исполнена </w:t>
      </w:r>
      <w:r>
        <w:rPr>
          <w:color w:val="000000" w:themeColor="text1"/>
          <w14:textFill>
            <w14:solidFill>
              <w14:schemeClr w14:val="tx1"/>
            </w14:solidFill>
          </w14:textFill>
        </w:rPr>
        <w:t xml:space="preserve">на </w:t>
      </w:r>
      <w:r>
        <w:rPr>
          <w:b/>
          <w:color w:val="000000" w:themeColor="text1"/>
          <w14:textFill>
            <w14:solidFill>
              <w14:schemeClr w14:val="tx1"/>
            </w14:solidFill>
          </w14:textFill>
        </w:rPr>
        <w:t>0,00%</w:t>
      </w:r>
      <w:r>
        <w:rPr>
          <w:color w:val="000000" w:themeColor="text1"/>
          <w14:textFill>
            <w14:solidFill>
              <w14:schemeClr w14:val="tx1"/>
            </w14:solidFill>
          </w14:textFill>
        </w:rPr>
        <w:t xml:space="preserve"> (00,0 тыс. руб.);</w:t>
      </w:r>
    </w:p>
    <w:p w14:paraId="11A82756">
      <w:pPr>
        <w:pStyle w:val="10"/>
        <w:numPr>
          <w:ilvl w:val="0"/>
          <w:numId w:val="2"/>
        </w:numPr>
        <w:ind w:left="0" w:firstLine="426"/>
        <w:jc w:val="both"/>
        <w:rPr>
          <w:color w:val="000000" w:themeColor="text1"/>
          <w14:textFill>
            <w14:solidFill>
              <w14:schemeClr w14:val="tx1"/>
            </w14:solidFill>
          </w14:textFill>
        </w:rPr>
      </w:pPr>
      <w:r>
        <w:rPr>
          <w:color w:val="000000" w:themeColor="text1"/>
          <w:lang w:eastAsia="zh-CN"/>
          <w14:textFill>
            <w14:solidFill>
              <w14:schemeClr w14:val="tx1"/>
            </w14:solidFill>
          </w14:textFill>
        </w:rPr>
        <w:t xml:space="preserve">МП «Развитие физической культуры и спорта в Ахтубинском районе» исполнена </w:t>
      </w:r>
      <w:r>
        <w:rPr>
          <w:color w:val="000000" w:themeColor="text1"/>
          <w14:textFill>
            <w14:solidFill>
              <w14:schemeClr w14:val="tx1"/>
            </w14:solidFill>
          </w14:textFill>
        </w:rPr>
        <w:t xml:space="preserve">на </w:t>
      </w:r>
      <w:r>
        <w:rPr>
          <w:b/>
          <w:color w:val="000000" w:themeColor="text1"/>
          <w14:textFill>
            <w14:solidFill>
              <w14:schemeClr w14:val="tx1"/>
            </w14:solidFill>
          </w14:textFill>
        </w:rPr>
        <w:t>0,00%</w:t>
      </w:r>
      <w:r>
        <w:rPr>
          <w:color w:val="000000" w:themeColor="text1"/>
          <w14:textFill>
            <w14:solidFill>
              <w14:schemeClr w14:val="tx1"/>
            </w14:solidFill>
          </w14:textFill>
        </w:rPr>
        <w:t xml:space="preserve"> (00,0 тыс. руб.);</w:t>
      </w:r>
    </w:p>
    <w:p w14:paraId="5390E2E9">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«Молодёжь Ахтубинского района» исполнена на </w:t>
      </w:r>
      <w:r>
        <w:rPr>
          <w:b/>
          <w:color w:val="000000" w:themeColor="text1"/>
          <w14:textFill>
            <w14:solidFill>
              <w14:schemeClr w14:val="tx1"/>
            </w14:solidFill>
          </w14:textFill>
        </w:rPr>
        <w:t>14,73%</w:t>
      </w:r>
      <w:r>
        <w:rPr>
          <w:color w:val="000000" w:themeColor="text1"/>
          <w14:textFill>
            <w14:solidFill>
              <w14:schemeClr w14:val="tx1"/>
            </w14:solidFill>
          </w14:textFill>
        </w:rPr>
        <w:t xml:space="preserve"> (1631,32 тыс. руб.), произведено финансирование функционирования МКУ «Центр социальной поддержки семьи и молодёжи»;</w:t>
      </w:r>
    </w:p>
    <w:p w14:paraId="2E96642A">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«Развитие агропромышленного комплекса Ахтубинского района» МП «Развитие агропромышленного комплекса Ахтубинского района» исполнена на </w:t>
      </w:r>
      <w:r>
        <w:rPr>
          <w:b/>
          <w:color w:val="000000" w:themeColor="text1"/>
          <w14:textFill>
            <w14:solidFill>
              <w14:schemeClr w14:val="tx1"/>
            </w14:solidFill>
          </w14:textFill>
        </w:rPr>
        <w:t>1,84%</w:t>
      </w:r>
      <w:r>
        <w:rPr>
          <w:color w:val="000000" w:themeColor="text1"/>
          <w14:textFill>
            <w14:solidFill>
              <w14:schemeClr w14:val="tx1"/>
            </w14:solidFill>
          </w14:textFill>
        </w:rPr>
        <w:t xml:space="preserve"> (912,76 тыс. руб.), обеспечено содержание аппарата управления сельского хозяйства (расходы на выплаты персоналу883,17 тыс. руб. и закупка товаров и услуг 29,59 тыс. руб.);</w:t>
      </w:r>
    </w:p>
    <w:p w14:paraId="30CFE192">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 исполнена на </w:t>
      </w:r>
      <w:r>
        <w:rPr>
          <w:b/>
          <w:color w:val="000000" w:themeColor="text1"/>
          <w14:textFill>
            <w14:solidFill>
              <w14:schemeClr w14:val="tx1"/>
            </w14:solidFill>
          </w14:textFill>
        </w:rPr>
        <w:t>65,18%</w:t>
      </w:r>
      <w:r>
        <w:rPr>
          <w:color w:val="000000" w:themeColor="text1"/>
          <w14:textFill>
            <w14:solidFill>
              <w14:schemeClr w14:val="tx1"/>
            </w14:solidFill>
          </w14:textFill>
        </w:rPr>
        <w:t xml:space="preserve"> (102861,36 тыс. руб.), произведено финансирование мероприятий:</w:t>
      </w:r>
    </w:p>
    <w:p w14:paraId="0058334B">
      <w:pPr>
        <w:pStyle w:val="10"/>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по закупке химических реагентов (573,3 тыс. руб.);</w:t>
      </w:r>
    </w:p>
    <w:p w14:paraId="5F643A5D">
      <w:pPr>
        <w:pStyle w:val="10"/>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на проведение ремонтно-восстановительных работ для обеспечения бесперебойного водоснабжения населения (186,6 тыс. руб., в т. ч. приобретён погружной шламовый насос с агитатором 159,3 тыс. руб. и труба п/э ПНД для холодной воды 27,3 тыс. руб.)</w:t>
      </w:r>
    </w:p>
    <w:p w14:paraId="489AF6CA">
      <w:pPr>
        <w:pStyle w:val="10"/>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по регулированию численности безнадзорных животных (490,5 тыс. руб., отловлено 88 особи);</w:t>
      </w:r>
    </w:p>
    <w:p w14:paraId="40389619">
      <w:pPr>
        <w:pStyle w:val="10"/>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по подпрограмме «Повышение энергетической эффективности на территории городских поселений Ахтубинского района» закуплен мазут (101610,92 тыс. руб.).</w:t>
      </w:r>
    </w:p>
    <w:p w14:paraId="1D1133EE">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«Стимулирование развития жилищного строительства» исполнена на </w:t>
      </w:r>
      <w:r>
        <w:rPr>
          <w:b/>
          <w:color w:val="000000" w:themeColor="text1"/>
          <w14:textFill>
            <w14:solidFill>
              <w14:schemeClr w14:val="tx1"/>
            </w14:solidFill>
          </w14:textFill>
        </w:rPr>
        <w:t>0,00%</w:t>
      </w:r>
      <w:r>
        <w:rPr>
          <w:color w:val="000000" w:themeColor="text1"/>
          <w14:textFill>
            <w14:solidFill>
              <w14:schemeClr w14:val="tx1"/>
            </w14:solidFill>
          </w14:textFill>
        </w:rPr>
        <w:t xml:space="preserve"> (00,0 тыс. руб.);</w:t>
      </w:r>
    </w:p>
    <w:p w14:paraId="26B0646F">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«Комплексное развитие дорожной инфраструктуры Ахтубинского района» исполнена на </w:t>
      </w:r>
      <w:r>
        <w:rPr>
          <w:b/>
          <w:color w:val="000000" w:themeColor="text1"/>
          <w14:textFill>
            <w14:solidFill>
              <w14:schemeClr w14:val="tx1"/>
            </w14:solidFill>
          </w14:textFill>
        </w:rPr>
        <w:t>3,17%</w:t>
      </w:r>
      <w:r>
        <w:rPr>
          <w:color w:val="000000" w:themeColor="text1"/>
          <w14:textFill>
            <w14:solidFill>
              <w14:schemeClr w14:val="tx1"/>
            </w14:solidFill>
          </w14:textFill>
        </w:rPr>
        <w:t xml:space="preserve"> (2971,34 тыс. руб.), оплачен контракт на содержание автомобильных дорог в сельских поселениях в зимний период (ИП Мирошниченко О.В. 2971,34 тыс. руб.);</w:t>
      </w:r>
    </w:p>
    <w:p w14:paraId="1F1817D5">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«Создание условий для функционирования органов местного самоуправления муниципального образования «Ахтубинский район» исполнена на </w:t>
      </w:r>
      <w:r>
        <w:rPr>
          <w:b/>
          <w:color w:val="000000" w:themeColor="text1"/>
          <w14:textFill>
            <w14:solidFill>
              <w14:schemeClr w14:val="tx1"/>
            </w14:solidFill>
          </w14:textFill>
        </w:rPr>
        <w:t>21,93%</w:t>
      </w:r>
      <w:r>
        <w:rPr>
          <w:color w:val="000000" w:themeColor="text1"/>
          <w14:textFill>
            <w14:solidFill>
              <w14:schemeClr w14:val="tx1"/>
            </w14:solidFill>
          </w14:textFill>
        </w:rPr>
        <w:t xml:space="preserve"> (9061,61 тыс. руб.), произведено финансирование аварийно - диспетчерской службы (779,4 тыс. руб.), содержания зданий и помещений, оплаты труда и страховых взносов, заключённых МКУ «УХТО МО «Ахтубинский район» (5091,2 тыс. руб.), создание условий для обслуживания газовых котельных и поставки газа (3191,0 тыс. руб.);</w:t>
      </w:r>
    </w:p>
    <w:p w14:paraId="6A8C07D3">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«Повышение эффективности управления муниципальными финансами» исполнена на </w:t>
      </w:r>
      <w:r>
        <w:rPr>
          <w:b/>
          <w:color w:val="000000" w:themeColor="text1"/>
          <w14:textFill>
            <w14:solidFill>
              <w14:schemeClr w14:val="tx1"/>
            </w14:solidFill>
          </w14:textFill>
        </w:rPr>
        <w:t>32,19%</w:t>
      </w:r>
      <w:r>
        <w:rPr>
          <w:color w:val="000000" w:themeColor="text1"/>
          <w14:textFill>
            <w14:solidFill>
              <w14:schemeClr w14:val="tx1"/>
            </w14:solidFill>
          </w14:textFill>
        </w:rPr>
        <w:t xml:space="preserve"> (30074,58 тыс. руб.), предоставлены дотации на выравнивание бюджетной обеспеченности поселений за счёт средств бюджета Астраханской области (26500,9 тыс. руб.), дотации на выравнивание бюджетной обеспеченности поселений из бюджета Ахтубинского района (1080,8 тыс. руб.), формирование бюджетной отчетности поселений, обеспечение функций финансового органа (88,8 тыс. руб.), содержание финансового управления (2063,2 тыс. руб.), предоставление иных межбюджетных трансфертов из бюджета Ахтубинского района на софинансирование расходных обязательств (340,9 тыс. руб.);</w:t>
      </w:r>
    </w:p>
    <w:p w14:paraId="03A4B69B">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 исполнена на 0,00 % (0,00 тыс. руб.), оплата публикаций материалов о деятельности администрации не осуществлялась;</w:t>
      </w:r>
    </w:p>
    <w:p w14:paraId="284A7517">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«Реализация функций органов местного самоуправления муниципального образования «Ахтубинский район» исполнена на </w:t>
      </w:r>
      <w:r>
        <w:rPr>
          <w:b/>
          <w:color w:val="000000" w:themeColor="text1"/>
          <w14:textFill>
            <w14:solidFill>
              <w14:schemeClr w14:val="tx1"/>
            </w14:solidFill>
          </w14:textFill>
        </w:rPr>
        <w:t>15,43%</w:t>
      </w:r>
      <w:r>
        <w:rPr>
          <w:color w:val="000000" w:themeColor="text1"/>
          <w14:textFill>
            <w14:solidFill>
              <w14:schemeClr w14:val="tx1"/>
            </w14:solidFill>
          </w14:textFill>
        </w:rPr>
        <w:t xml:space="preserve"> (8114,18 тыс. руб.), произведено финансирование деятельности административной комиссии (91,9 тыс. руб.), деятельности комиссии по делам несовершеннолетних и защите их прав (278,2 тыс. руб.), доплаты к пенсии 118 человек (933,5 тыс. руб.), деятельности администрации МО «Ахтубинский район» и заключённых контрактов (6750,1 тыс. руб.), подготовка к празднованию Дня района 60,4 тыс. руб.);</w:t>
      </w:r>
    </w:p>
    <w:p w14:paraId="18588294">
      <w:pPr>
        <w:pStyle w:val="10"/>
        <w:numPr>
          <w:ilvl w:val="0"/>
          <w:numId w:val="2"/>
        </w:numPr>
        <w:ind w:left="0" w:firstLine="426"/>
        <w:jc w:val="both"/>
        <w:rPr>
          <w:color w:val="000000" w:themeColor="text1"/>
          <w14:textFill>
            <w14:solidFill>
              <w14:schemeClr w14:val="tx1"/>
            </w14:solidFill>
          </w14:textFill>
        </w:rPr>
      </w:pPr>
      <w:r>
        <w:rPr>
          <w:color w:val="000000" w:themeColor="text1"/>
          <w:lang w:eastAsia="zh-CN"/>
          <w14:textFill>
            <w14:solidFill>
              <w14:schemeClr w14:val="tx1"/>
            </w14:solidFill>
          </w14:textFill>
        </w:rPr>
        <w:t xml:space="preserve">МП «Обеспечение безопасности жизнедеятельности населения Ахтубинского района» </w:t>
      </w:r>
      <w:r>
        <w:rPr>
          <w:color w:val="000000" w:themeColor="text1"/>
          <w14:textFill>
            <w14:solidFill>
              <w14:schemeClr w14:val="tx1"/>
            </w14:solidFill>
          </w14:textFill>
        </w:rPr>
        <w:t xml:space="preserve">исполнена на </w:t>
      </w:r>
      <w:r>
        <w:rPr>
          <w:b/>
          <w:color w:val="000000" w:themeColor="text1"/>
          <w14:textFill>
            <w14:solidFill>
              <w14:schemeClr w14:val="tx1"/>
            </w14:solidFill>
          </w14:textFill>
        </w:rPr>
        <w:t>3,21%</w:t>
      </w:r>
      <w:r>
        <w:rPr>
          <w:color w:val="000000" w:themeColor="text1"/>
          <w14:textFill>
            <w14:solidFill>
              <w14:schemeClr w14:val="tx1"/>
            </w14:solidFill>
          </w14:textFill>
        </w:rPr>
        <w:t xml:space="preserve"> (35,92 тыс. руб.), произведены расходы по изготовлению знаков гражданской обороны и защиты населения.</w:t>
      </w:r>
    </w:p>
    <w:p w14:paraId="6BC71882">
      <w:pPr>
        <w:pStyle w:val="10"/>
        <w:numPr>
          <w:ilvl w:val="0"/>
          <w:numId w:val="2"/>
        </w:numPr>
        <w:ind w:left="0"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МП «Совершенствование системы управления муниципальной собственностью МО «Ахтубинский район» исполнена на </w:t>
      </w:r>
      <w:r>
        <w:rPr>
          <w:b/>
          <w:color w:val="000000" w:themeColor="text1"/>
          <w14:textFill>
            <w14:solidFill>
              <w14:schemeClr w14:val="tx1"/>
            </w14:solidFill>
          </w14:textFill>
        </w:rPr>
        <w:t>15,67%</w:t>
      </w:r>
      <w:r>
        <w:rPr>
          <w:color w:val="000000" w:themeColor="text1"/>
          <w14:textFill>
            <w14:solidFill>
              <w14:schemeClr w14:val="tx1"/>
            </w14:solidFill>
          </w14:textFill>
        </w:rPr>
        <w:t xml:space="preserve"> (959,55 тыс. руб.), произведены расходы на содержание аппарата УИЗО (935,7 тыс. руб.) и программного обеспечения (23,8тыс. руб.);</w:t>
      </w:r>
    </w:p>
    <w:p w14:paraId="01C679BA">
      <w:pPr>
        <w:pStyle w:val="10"/>
        <w:numPr>
          <w:ilvl w:val="0"/>
          <w:numId w:val="4"/>
        </w:numPr>
        <w:ind w:left="54"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Иные непрограммные мероприятия исполнены на </w:t>
      </w:r>
      <w:r>
        <w:rPr>
          <w:b/>
          <w:color w:val="000000" w:themeColor="text1"/>
          <w14:textFill>
            <w14:solidFill>
              <w14:schemeClr w14:val="tx1"/>
            </w14:solidFill>
          </w14:textFill>
        </w:rPr>
        <w:t>4,05%</w:t>
      </w:r>
      <w:r>
        <w:rPr>
          <w:color w:val="000000" w:themeColor="text1"/>
          <w14:textFill>
            <w14:solidFill>
              <w14:schemeClr w14:val="tx1"/>
            </w14:solidFill>
          </w14:textFill>
        </w:rPr>
        <w:t xml:space="preserve"> (1438,93 тыс. руб.), произведено финансирование деятельности Совета МО «Ахтубинский район» (523,92 тыс. руб.), КСП (521,83 тыс. руб.), на оплату штрафов за нарушение условий контрактов (договоров) образовательными учреждениями (100,06 тыс. руб.) и на оплату аванса за установку пандусов и технического обследования здания образовательного учреждения (293,12 тыс. руб.).</w:t>
      </w:r>
    </w:p>
    <w:p w14:paraId="4140F8C5">
      <w:pPr>
        <w:pStyle w:val="10"/>
        <w:numPr>
          <w:ilvl w:val="0"/>
          <w:numId w:val="4"/>
        </w:numPr>
        <w:ind w:left="54" w:firstLine="426"/>
        <w:jc w:val="both"/>
        <w:rPr>
          <w:color w:val="000000" w:themeColor="text1"/>
          <w14:textFill>
            <w14:solidFill>
              <w14:schemeClr w14:val="tx1"/>
            </w14:solidFill>
          </w14:textFill>
        </w:rPr>
      </w:pPr>
      <w:r>
        <w:rPr>
          <w:color w:val="000000" w:themeColor="text1"/>
          <w14:textFill>
            <w14:solidFill>
              <w14:schemeClr w14:val="tx1"/>
            </w14:solidFill>
          </w14:textFill>
        </w:rPr>
        <w:t xml:space="preserve">Непрограммное направление деятельности реализация функций органов местного самоуправления администрации МО «Ахтубинский район» исполнено на </w:t>
      </w:r>
      <w:r>
        <w:rPr>
          <w:b/>
          <w:color w:val="000000" w:themeColor="text1"/>
          <w14:textFill>
            <w14:solidFill>
              <w14:schemeClr w14:val="tx1"/>
            </w14:solidFill>
          </w14:textFill>
        </w:rPr>
        <w:t>7,61%</w:t>
      </w:r>
      <w:r>
        <w:rPr>
          <w:color w:val="000000" w:themeColor="text1"/>
          <w14:textFill>
            <w14:solidFill>
              <w14:schemeClr w14:val="tx1"/>
            </w14:solidFill>
          </w14:textFill>
        </w:rPr>
        <w:t xml:space="preserve"> (252,25 тыс. руб.) произведено финансирование расходов на функционирование высшего должностного лица.</w:t>
      </w:r>
    </w:p>
    <w:p w14:paraId="04C3EC5A">
      <w:pPr>
        <w:jc w:val="both"/>
        <w:rPr>
          <w:color w:val="376092" w:themeColor="accent1" w:themeShade="BF"/>
          <w:sz w:val="12"/>
          <w:szCs w:val="12"/>
          <w:highlight w:val="yellow"/>
        </w:rPr>
      </w:pPr>
    </w:p>
    <w:p w14:paraId="795F2519">
      <w:pPr>
        <w:jc w:val="center"/>
        <w:rPr>
          <w:b/>
          <w:color w:val="000000" w:themeColor="text1"/>
          <w:lang w:eastAsia="ar-SA"/>
          <w14:textFill>
            <w14:solidFill>
              <w14:schemeClr w14:val="tx1"/>
            </w14:solidFill>
          </w14:textFill>
        </w:rPr>
      </w:pPr>
      <w:r>
        <w:rPr>
          <w:b/>
          <w:color w:val="000000" w:themeColor="text1"/>
          <w:lang w:eastAsia="ar-SA"/>
          <w14:textFill>
            <w14:solidFill>
              <w14:schemeClr w14:val="tx1"/>
            </w14:solidFill>
          </w14:textFill>
        </w:rPr>
        <w:t>Анализ исполнения бюджета по источникам финансирования дефицита бюджета.</w:t>
      </w:r>
    </w:p>
    <w:p w14:paraId="7FCAEBB8">
      <w:pPr>
        <w:autoSpaceDE w:val="0"/>
        <w:autoSpaceDN w:val="0"/>
        <w:adjustRightInd w:val="0"/>
        <w:ind w:firstLine="567"/>
        <w:rPr>
          <w:color w:val="000000" w:themeColor="text1"/>
          <w:sz w:val="12"/>
          <w:szCs w:val="12"/>
          <w14:textFill>
            <w14:solidFill>
              <w14:schemeClr w14:val="tx1"/>
            </w14:solidFill>
          </w14:textFill>
        </w:rPr>
      </w:pPr>
    </w:p>
    <w:p w14:paraId="67D3CAE4">
      <w:pPr>
        <w:autoSpaceDE w:val="0"/>
        <w:autoSpaceDN w:val="0"/>
        <w:adjustRightInd w:val="0"/>
        <w:ind w:firstLine="567"/>
        <w:jc w:val="both"/>
        <w:rPr>
          <w:color w:val="000000" w:themeColor="text1"/>
          <w14:textFill>
            <w14:solidFill>
              <w14:schemeClr w14:val="tx1"/>
            </w14:solidFill>
          </w14:textFill>
        </w:rPr>
      </w:pPr>
      <w:r>
        <w:rPr>
          <w:color w:val="000000" w:themeColor="text1"/>
          <w14:textFill>
            <w14:solidFill>
              <w14:schemeClr w14:val="tx1"/>
            </w14:solidFill>
          </w14:textFill>
        </w:rPr>
        <w:t xml:space="preserve">По результатам исполнения бюджета за 1 квартал 2025 года сложился </w:t>
      </w:r>
      <w:r>
        <w:rPr>
          <w:b/>
          <w:i/>
          <w:color w:val="000000" w:themeColor="text1"/>
          <w14:textFill>
            <w14:solidFill>
              <w14:schemeClr w14:val="tx1"/>
            </w14:solidFill>
          </w14:textFill>
        </w:rPr>
        <w:t>профицит</w:t>
      </w:r>
      <w:r>
        <w:rPr>
          <w:color w:val="000000" w:themeColor="text1"/>
          <w14:textFill>
            <w14:solidFill>
              <w14:schemeClr w14:val="tx1"/>
            </w14:solidFill>
          </w14:textFill>
        </w:rPr>
        <w:t xml:space="preserve"> в размере 17373,47 тыс. руб.</w:t>
      </w:r>
    </w:p>
    <w:p w14:paraId="7272D15A">
      <w:pPr>
        <w:autoSpaceDE w:val="0"/>
        <w:autoSpaceDN w:val="0"/>
        <w:adjustRightInd w:val="0"/>
        <w:ind w:firstLine="567"/>
        <w:jc w:val="both"/>
        <w:rPr>
          <w:color w:val="000000" w:themeColor="text1"/>
          <w:sz w:val="12"/>
          <w:szCs w:val="12"/>
          <w14:textFill>
            <w14:solidFill>
              <w14:schemeClr w14:val="tx1"/>
            </w14:solidFill>
          </w14:textFill>
        </w:rPr>
      </w:pPr>
      <w:r>
        <w:rPr>
          <w:color w:val="000000" w:themeColor="text1"/>
          <w14:textFill>
            <w14:solidFill>
              <w14:schemeClr w14:val="tx1"/>
            </w14:solidFill>
          </w14:textFill>
        </w:rPr>
        <w:t xml:space="preserve">Исполнение бюджета по источникам внутреннего финансирования дефицита представлено в Таблице №7: </w:t>
      </w:r>
    </w:p>
    <w:p w14:paraId="24230CAF">
      <w:pPr>
        <w:autoSpaceDE w:val="0"/>
        <w:autoSpaceDN w:val="0"/>
        <w:adjustRightInd w:val="0"/>
        <w:ind w:firstLine="567"/>
        <w:jc w:val="right"/>
        <w:rPr>
          <w:color w:val="000000" w:themeColor="text1"/>
          <w14:textFill>
            <w14:solidFill>
              <w14:schemeClr w14:val="tx1"/>
            </w14:solidFill>
          </w14:textFill>
        </w:rPr>
      </w:pPr>
      <w:r>
        <w:rPr>
          <w:color w:val="000000" w:themeColor="text1"/>
          <w14:textFill>
            <w14:solidFill>
              <w14:schemeClr w14:val="tx1"/>
            </w14:solidFill>
          </w14:textFill>
        </w:rPr>
        <w:t>Таблица № 7 (тыс. руб.)</w:t>
      </w:r>
    </w:p>
    <w:tbl>
      <w:tblPr>
        <w:tblStyle w:val="3"/>
        <w:tblW w:w="9471" w:type="dxa"/>
        <w:tblInd w:w="0" w:type="dxa"/>
        <w:tblLayout w:type="autofit"/>
        <w:tblCellMar>
          <w:top w:w="0" w:type="dxa"/>
          <w:left w:w="108" w:type="dxa"/>
          <w:bottom w:w="0" w:type="dxa"/>
          <w:right w:w="108" w:type="dxa"/>
        </w:tblCellMar>
      </w:tblPr>
      <w:tblGrid>
        <w:gridCol w:w="4361"/>
        <w:gridCol w:w="2551"/>
        <w:gridCol w:w="2559"/>
      </w:tblGrid>
      <w:tr w14:paraId="5E6E18B3">
        <w:tblPrEx>
          <w:tblCellMar>
            <w:top w:w="0" w:type="dxa"/>
            <w:left w:w="108" w:type="dxa"/>
            <w:bottom w:w="0" w:type="dxa"/>
            <w:right w:w="108" w:type="dxa"/>
          </w:tblCellMar>
        </w:tblPrEx>
        <w:trPr>
          <w:trHeight w:val="156"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center"/>
          </w:tcPr>
          <w:p w14:paraId="7DF5802B">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Наименование показателя</w:t>
            </w:r>
          </w:p>
        </w:tc>
        <w:tc>
          <w:tcPr>
            <w:tcW w:w="2551" w:type="dxa"/>
            <w:tcBorders>
              <w:top w:val="single" w:color="auto" w:sz="4" w:space="0"/>
              <w:left w:val="nil"/>
              <w:bottom w:val="single" w:color="auto" w:sz="4" w:space="0"/>
              <w:right w:val="single" w:color="auto" w:sz="4" w:space="0"/>
            </w:tcBorders>
            <w:shd w:val="clear" w:color="auto" w:fill="auto"/>
            <w:vAlign w:val="center"/>
          </w:tcPr>
          <w:p w14:paraId="2C0315B0">
            <w:pPr>
              <w:jc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Утверждено </w:t>
            </w:r>
            <w:r>
              <w:rPr>
                <w:rFonts w:eastAsia="SimSun"/>
                <w:color w:val="000000" w:themeColor="text1"/>
                <w:sz w:val="22"/>
                <w:szCs w:val="22"/>
                <w:lang w:eastAsia="zh-CN" w:bidi="ar"/>
                <w14:textFill>
                  <w14:solidFill>
                    <w14:schemeClr w14:val="tx1"/>
                  </w14:solidFill>
                </w14:textFill>
              </w:rPr>
              <w:t>Решение (от 27.03.2025 г. №61)</w:t>
            </w:r>
          </w:p>
        </w:tc>
        <w:tc>
          <w:tcPr>
            <w:tcW w:w="2559" w:type="dxa"/>
            <w:tcBorders>
              <w:top w:val="single" w:color="auto" w:sz="4" w:space="0"/>
              <w:left w:val="nil"/>
              <w:bottom w:val="single" w:color="auto" w:sz="4" w:space="0"/>
              <w:right w:val="single" w:color="auto" w:sz="4" w:space="0"/>
            </w:tcBorders>
            <w:shd w:val="clear" w:color="auto" w:fill="auto"/>
            <w:vAlign w:val="center"/>
          </w:tcPr>
          <w:p w14:paraId="5BB311D7">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Исполнение за 1 квартал 2025 года, тыс. руб.</w:t>
            </w:r>
          </w:p>
        </w:tc>
      </w:tr>
      <w:tr w14:paraId="0197C2C0">
        <w:tblPrEx>
          <w:tblCellMar>
            <w:top w:w="0" w:type="dxa"/>
            <w:left w:w="108" w:type="dxa"/>
            <w:bottom w:w="0" w:type="dxa"/>
            <w:right w:w="108" w:type="dxa"/>
          </w:tblCellMar>
        </w:tblPrEx>
        <w:trPr>
          <w:trHeight w:val="206" w:hRule="atLeast"/>
        </w:trPr>
        <w:tc>
          <w:tcPr>
            <w:tcW w:w="4361" w:type="dxa"/>
            <w:tcBorders>
              <w:top w:val="nil"/>
              <w:left w:val="single" w:color="auto" w:sz="4" w:space="0"/>
              <w:bottom w:val="single" w:color="auto" w:sz="4" w:space="0"/>
              <w:right w:val="single" w:color="auto" w:sz="4" w:space="0"/>
            </w:tcBorders>
            <w:shd w:val="clear" w:color="auto" w:fill="auto"/>
            <w:vAlign w:val="center"/>
          </w:tcPr>
          <w:p w14:paraId="751194BE">
            <w:pP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Источники финансирования дефицита бюджета, всего</w:t>
            </w:r>
          </w:p>
        </w:tc>
        <w:tc>
          <w:tcPr>
            <w:tcW w:w="2551" w:type="dxa"/>
            <w:tcBorders>
              <w:top w:val="nil"/>
              <w:left w:val="nil"/>
              <w:bottom w:val="single" w:color="auto" w:sz="4" w:space="0"/>
              <w:right w:val="single" w:color="auto" w:sz="4" w:space="0"/>
            </w:tcBorders>
            <w:shd w:val="clear" w:color="auto" w:fill="auto"/>
            <w:vAlign w:val="center"/>
          </w:tcPr>
          <w:p w14:paraId="1D4D9FB2">
            <w:pPr>
              <w:jc w:val="center"/>
              <w:textAlignment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7619,41</w:t>
            </w:r>
          </w:p>
        </w:tc>
        <w:tc>
          <w:tcPr>
            <w:tcW w:w="2559" w:type="dxa"/>
            <w:tcBorders>
              <w:top w:val="nil"/>
              <w:left w:val="nil"/>
              <w:bottom w:val="single" w:color="auto" w:sz="4" w:space="0"/>
              <w:right w:val="single" w:color="auto" w:sz="4" w:space="0"/>
            </w:tcBorders>
            <w:shd w:val="clear" w:color="auto" w:fill="auto"/>
            <w:vAlign w:val="center"/>
          </w:tcPr>
          <w:p w14:paraId="13DAD325">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eastAsia="zh-CN" w:bidi="ar"/>
                <w14:textFill>
                  <w14:solidFill>
                    <w14:schemeClr w14:val="tx1"/>
                  </w14:solidFill>
                </w14:textFill>
              </w:rPr>
              <w:t>-17373,47</w:t>
            </w:r>
          </w:p>
        </w:tc>
      </w:tr>
      <w:tr w14:paraId="5CF9FE7F">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08D61B67">
            <w:pP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Кредиты кредитных организаций: </w:t>
            </w:r>
          </w:p>
        </w:tc>
        <w:tc>
          <w:tcPr>
            <w:tcW w:w="2551" w:type="dxa"/>
            <w:tcBorders>
              <w:top w:val="nil"/>
              <w:left w:val="nil"/>
              <w:bottom w:val="single" w:color="auto" w:sz="4" w:space="0"/>
              <w:right w:val="single" w:color="auto" w:sz="4" w:space="0"/>
            </w:tcBorders>
            <w:shd w:val="clear" w:color="auto" w:fill="auto"/>
            <w:vAlign w:val="center"/>
          </w:tcPr>
          <w:p w14:paraId="799B6D3B">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val="en-US" w:eastAsia="zh-CN" w:bidi="ar"/>
                <w14:textFill>
                  <w14:solidFill>
                    <w14:schemeClr w14:val="tx1"/>
                  </w14:solidFill>
                </w14:textFill>
              </w:rPr>
              <w:t xml:space="preserve"> 0,00</w:t>
            </w:r>
          </w:p>
        </w:tc>
        <w:tc>
          <w:tcPr>
            <w:tcW w:w="2559" w:type="dxa"/>
            <w:tcBorders>
              <w:top w:val="nil"/>
              <w:left w:val="nil"/>
              <w:bottom w:val="single" w:color="auto" w:sz="4" w:space="0"/>
              <w:right w:val="single" w:color="auto" w:sz="4" w:space="0"/>
            </w:tcBorders>
            <w:shd w:val="clear" w:color="auto" w:fill="auto"/>
            <w:vAlign w:val="center"/>
          </w:tcPr>
          <w:p w14:paraId="43414959">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val="en-US" w:eastAsia="zh-CN" w:bidi="ar"/>
                <w14:textFill>
                  <w14:solidFill>
                    <w14:schemeClr w14:val="tx1"/>
                  </w14:solidFill>
                </w14:textFill>
              </w:rPr>
              <w:t xml:space="preserve"> 0,00</w:t>
            </w:r>
          </w:p>
        </w:tc>
      </w:tr>
      <w:tr w14:paraId="1D5E0676">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7E8AE7B9">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Получение кредитов </w:t>
            </w:r>
          </w:p>
        </w:tc>
        <w:tc>
          <w:tcPr>
            <w:tcW w:w="2551" w:type="dxa"/>
            <w:tcBorders>
              <w:top w:val="nil"/>
              <w:left w:val="nil"/>
              <w:bottom w:val="single" w:color="auto" w:sz="4" w:space="0"/>
              <w:right w:val="single" w:color="auto" w:sz="4" w:space="0"/>
            </w:tcBorders>
            <w:shd w:val="clear" w:color="auto" w:fill="auto"/>
            <w:vAlign w:val="center"/>
          </w:tcPr>
          <w:p w14:paraId="71358788">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c>
          <w:tcPr>
            <w:tcW w:w="2559" w:type="dxa"/>
            <w:tcBorders>
              <w:top w:val="nil"/>
              <w:left w:val="nil"/>
              <w:bottom w:val="single" w:color="auto" w:sz="4" w:space="0"/>
              <w:right w:val="single" w:color="auto" w:sz="4" w:space="0"/>
            </w:tcBorders>
            <w:shd w:val="clear" w:color="auto" w:fill="auto"/>
            <w:vAlign w:val="center"/>
          </w:tcPr>
          <w:p w14:paraId="292D843E">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r>
      <w:tr w14:paraId="5A2EFEDA">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56CE64DC">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Погашение кредитов </w:t>
            </w:r>
          </w:p>
        </w:tc>
        <w:tc>
          <w:tcPr>
            <w:tcW w:w="2551" w:type="dxa"/>
            <w:tcBorders>
              <w:top w:val="nil"/>
              <w:left w:val="nil"/>
              <w:bottom w:val="single" w:color="auto" w:sz="4" w:space="0"/>
              <w:right w:val="single" w:color="auto" w:sz="4" w:space="0"/>
            </w:tcBorders>
            <w:shd w:val="clear" w:color="auto" w:fill="auto"/>
            <w:vAlign w:val="center"/>
          </w:tcPr>
          <w:p w14:paraId="2D8D1AF5">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c>
          <w:tcPr>
            <w:tcW w:w="2559" w:type="dxa"/>
            <w:tcBorders>
              <w:top w:val="nil"/>
              <w:left w:val="nil"/>
              <w:bottom w:val="single" w:color="auto" w:sz="4" w:space="0"/>
              <w:right w:val="single" w:color="auto" w:sz="4" w:space="0"/>
            </w:tcBorders>
            <w:shd w:val="clear" w:color="auto" w:fill="auto"/>
            <w:vAlign w:val="center"/>
          </w:tcPr>
          <w:p w14:paraId="04AADAE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r>
      <w:tr w14:paraId="3408307D">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2E2DE1D8">
            <w:pP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Бюджетные кредиты </w:t>
            </w:r>
          </w:p>
        </w:tc>
        <w:tc>
          <w:tcPr>
            <w:tcW w:w="2551" w:type="dxa"/>
            <w:tcBorders>
              <w:top w:val="nil"/>
              <w:left w:val="nil"/>
              <w:bottom w:val="single" w:color="auto" w:sz="4" w:space="0"/>
              <w:right w:val="single" w:color="auto" w:sz="4" w:space="0"/>
            </w:tcBorders>
            <w:shd w:val="clear" w:color="auto" w:fill="auto"/>
            <w:vAlign w:val="center"/>
          </w:tcPr>
          <w:p w14:paraId="4FE8A6CF">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val="en-US" w:eastAsia="zh-CN" w:bidi="ar"/>
                <w14:textFill>
                  <w14:solidFill>
                    <w14:schemeClr w14:val="tx1"/>
                  </w14:solidFill>
                </w14:textFill>
              </w:rPr>
              <w:t xml:space="preserve"> 0,00</w:t>
            </w:r>
          </w:p>
        </w:tc>
        <w:tc>
          <w:tcPr>
            <w:tcW w:w="2559" w:type="dxa"/>
            <w:tcBorders>
              <w:top w:val="nil"/>
              <w:left w:val="nil"/>
              <w:bottom w:val="single" w:color="auto" w:sz="4" w:space="0"/>
              <w:right w:val="single" w:color="auto" w:sz="4" w:space="0"/>
            </w:tcBorders>
            <w:shd w:val="clear" w:color="auto" w:fill="auto"/>
            <w:vAlign w:val="center"/>
          </w:tcPr>
          <w:p w14:paraId="21780109">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val="en-US" w:eastAsia="zh-CN" w:bidi="ar"/>
                <w14:textFill>
                  <w14:solidFill>
                    <w14:schemeClr w14:val="tx1"/>
                  </w14:solidFill>
                </w14:textFill>
              </w:rPr>
              <w:t xml:space="preserve"> 0,00</w:t>
            </w:r>
          </w:p>
        </w:tc>
      </w:tr>
      <w:tr w14:paraId="1BB4A717">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53DFBCE2">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Получение бюджетных кредитов</w:t>
            </w:r>
          </w:p>
        </w:tc>
        <w:tc>
          <w:tcPr>
            <w:tcW w:w="2551" w:type="dxa"/>
            <w:tcBorders>
              <w:top w:val="nil"/>
              <w:left w:val="nil"/>
              <w:bottom w:val="single" w:color="auto" w:sz="4" w:space="0"/>
              <w:right w:val="single" w:color="auto" w:sz="4" w:space="0"/>
            </w:tcBorders>
            <w:shd w:val="clear" w:color="auto" w:fill="auto"/>
            <w:vAlign w:val="center"/>
          </w:tcPr>
          <w:p w14:paraId="085F4925">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c>
          <w:tcPr>
            <w:tcW w:w="2559" w:type="dxa"/>
            <w:tcBorders>
              <w:top w:val="nil"/>
              <w:left w:val="nil"/>
              <w:bottom w:val="single" w:color="auto" w:sz="4" w:space="0"/>
              <w:right w:val="single" w:color="auto" w:sz="4" w:space="0"/>
            </w:tcBorders>
            <w:shd w:val="clear" w:color="auto" w:fill="auto"/>
            <w:vAlign w:val="center"/>
          </w:tcPr>
          <w:p w14:paraId="25FF2A9F">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r>
      <w:tr w14:paraId="42775036">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3A6DFB5B">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Погашение бюджетных кредитов </w:t>
            </w:r>
          </w:p>
        </w:tc>
        <w:tc>
          <w:tcPr>
            <w:tcW w:w="2551" w:type="dxa"/>
            <w:tcBorders>
              <w:top w:val="nil"/>
              <w:left w:val="nil"/>
              <w:bottom w:val="single" w:color="auto" w:sz="4" w:space="0"/>
              <w:right w:val="single" w:color="auto" w:sz="4" w:space="0"/>
            </w:tcBorders>
            <w:shd w:val="clear" w:color="auto" w:fill="auto"/>
            <w:vAlign w:val="center"/>
          </w:tcPr>
          <w:p w14:paraId="5DC6EB3A">
            <w:pPr>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-12366,67</w:t>
            </w:r>
          </w:p>
        </w:tc>
        <w:tc>
          <w:tcPr>
            <w:tcW w:w="2559" w:type="dxa"/>
            <w:tcBorders>
              <w:top w:val="nil"/>
              <w:left w:val="nil"/>
              <w:bottom w:val="single" w:color="auto" w:sz="4" w:space="0"/>
              <w:right w:val="single" w:color="auto" w:sz="4" w:space="0"/>
            </w:tcBorders>
            <w:shd w:val="clear" w:color="auto" w:fill="auto"/>
            <w:vAlign w:val="center"/>
          </w:tcPr>
          <w:p w14:paraId="3F322FCB">
            <w:pPr>
              <w:jc w:val="center"/>
              <w:textAlignment w:val="center"/>
              <w:rPr>
                <w:color w:val="000000" w:themeColor="text1"/>
                <w:sz w:val="22"/>
                <w:szCs w:val="22"/>
                <w14:textFill>
                  <w14:solidFill>
                    <w14:schemeClr w14:val="tx1"/>
                  </w14:solidFill>
                </w14:textFill>
              </w:rPr>
            </w:pPr>
            <w:r>
              <w:rPr>
                <w:rFonts w:eastAsia="SimSun"/>
                <w:color w:val="000000" w:themeColor="text1"/>
                <w:sz w:val="22"/>
                <w:szCs w:val="22"/>
                <w:lang w:val="en-US" w:eastAsia="zh-CN" w:bidi="ar"/>
                <w14:textFill>
                  <w14:solidFill>
                    <w14:schemeClr w14:val="tx1"/>
                  </w14:solidFill>
                </w14:textFill>
              </w:rPr>
              <w:t xml:space="preserve"> 0,00</w:t>
            </w:r>
          </w:p>
        </w:tc>
      </w:tr>
      <w:tr w14:paraId="7CE3310F">
        <w:tblPrEx>
          <w:tblCellMar>
            <w:top w:w="0" w:type="dxa"/>
            <w:left w:w="108" w:type="dxa"/>
            <w:bottom w:w="0" w:type="dxa"/>
            <w:right w:w="108" w:type="dxa"/>
          </w:tblCellMar>
        </w:tblPrEx>
        <w:trPr>
          <w:trHeight w:val="380" w:hRule="atLeast"/>
        </w:trPr>
        <w:tc>
          <w:tcPr>
            <w:tcW w:w="4361" w:type="dxa"/>
            <w:tcBorders>
              <w:top w:val="nil"/>
              <w:left w:val="single" w:color="auto" w:sz="4" w:space="0"/>
              <w:bottom w:val="single" w:color="auto" w:sz="4" w:space="0"/>
              <w:right w:val="single" w:color="auto" w:sz="4" w:space="0"/>
            </w:tcBorders>
            <w:shd w:val="clear" w:color="auto" w:fill="auto"/>
            <w:vAlign w:val="center"/>
          </w:tcPr>
          <w:p w14:paraId="5CB7E82C">
            <w:pP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Изменение остатков средств на счетах по учету средств бюджета</w:t>
            </w:r>
          </w:p>
        </w:tc>
        <w:tc>
          <w:tcPr>
            <w:tcW w:w="2551" w:type="dxa"/>
            <w:tcBorders>
              <w:top w:val="nil"/>
              <w:left w:val="nil"/>
              <w:bottom w:val="single" w:color="auto" w:sz="4" w:space="0"/>
              <w:right w:val="single" w:color="auto" w:sz="4" w:space="0"/>
            </w:tcBorders>
            <w:shd w:val="clear" w:color="auto" w:fill="auto"/>
            <w:vAlign w:val="center"/>
          </w:tcPr>
          <w:p w14:paraId="448CBDC2">
            <w:pPr>
              <w:jc w:val="center"/>
              <w:textAlignment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19986,07</w:t>
            </w:r>
          </w:p>
        </w:tc>
        <w:tc>
          <w:tcPr>
            <w:tcW w:w="2559" w:type="dxa"/>
            <w:tcBorders>
              <w:top w:val="nil"/>
              <w:left w:val="nil"/>
              <w:bottom w:val="single" w:color="auto" w:sz="4" w:space="0"/>
              <w:right w:val="single" w:color="auto" w:sz="4" w:space="0"/>
            </w:tcBorders>
            <w:shd w:val="clear" w:color="auto" w:fill="auto"/>
            <w:vAlign w:val="center"/>
          </w:tcPr>
          <w:p w14:paraId="0A310CA6">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eastAsia="zh-CN" w:bidi="ar"/>
                <w14:textFill>
                  <w14:solidFill>
                    <w14:schemeClr w14:val="tx1"/>
                  </w14:solidFill>
                </w14:textFill>
              </w:rPr>
              <w:t>-17373,47</w:t>
            </w:r>
          </w:p>
        </w:tc>
      </w:tr>
      <w:tr w14:paraId="435D7CD0">
        <w:tblPrEx>
          <w:tblCellMar>
            <w:top w:w="0" w:type="dxa"/>
            <w:left w:w="108" w:type="dxa"/>
            <w:bottom w:w="0" w:type="dxa"/>
            <w:right w:w="108" w:type="dxa"/>
          </w:tblCellMar>
        </w:tblPrEx>
        <w:trPr>
          <w:trHeight w:val="283" w:hRule="exact"/>
        </w:trPr>
        <w:tc>
          <w:tcPr>
            <w:tcW w:w="4361" w:type="dxa"/>
            <w:tcBorders>
              <w:top w:val="nil"/>
              <w:left w:val="single" w:color="auto" w:sz="4" w:space="0"/>
              <w:bottom w:val="single" w:color="auto" w:sz="4" w:space="0"/>
              <w:right w:val="single" w:color="auto" w:sz="4" w:space="0"/>
            </w:tcBorders>
            <w:shd w:val="clear" w:color="auto" w:fill="auto"/>
            <w:vAlign w:val="center"/>
          </w:tcPr>
          <w:p w14:paraId="5179FE01">
            <w:pP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 xml:space="preserve">Иные источники </w:t>
            </w:r>
          </w:p>
        </w:tc>
        <w:tc>
          <w:tcPr>
            <w:tcW w:w="2551" w:type="dxa"/>
            <w:tcBorders>
              <w:top w:val="nil"/>
              <w:left w:val="nil"/>
              <w:bottom w:val="single" w:color="auto" w:sz="4" w:space="0"/>
              <w:right w:val="single" w:color="auto" w:sz="4" w:space="0"/>
            </w:tcBorders>
            <w:shd w:val="clear" w:color="auto" w:fill="auto"/>
            <w:vAlign w:val="center"/>
          </w:tcPr>
          <w:p w14:paraId="761AA9F6">
            <w:pPr>
              <w:jc w:val="center"/>
              <w:textAlignment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0,00</w:t>
            </w:r>
          </w:p>
        </w:tc>
        <w:tc>
          <w:tcPr>
            <w:tcW w:w="2559" w:type="dxa"/>
            <w:tcBorders>
              <w:top w:val="nil"/>
              <w:left w:val="nil"/>
              <w:bottom w:val="single" w:color="auto" w:sz="4" w:space="0"/>
              <w:right w:val="single" w:color="auto" w:sz="4" w:space="0"/>
            </w:tcBorders>
            <w:shd w:val="clear" w:color="auto" w:fill="auto"/>
            <w:vAlign w:val="center"/>
          </w:tcPr>
          <w:p w14:paraId="68BA8A53">
            <w:pPr>
              <w:jc w:val="center"/>
              <w:textAlignment w:val="center"/>
              <w:rPr>
                <w:b/>
                <w:bCs/>
                <w:color w:val="000000" w:themeColor="text1"/>
                <w:sz w:val="22"/>
                <w:szCs w:val="22"/>
                <w14:textFill>
                  <w14:solidFill>
                    <w14:schemeClr w14:val="tx1"/>
                  </w14:solidFill>
                </w14:textFill>
              </w:rPr>
            </w:pPr>
            <w:r>
              <w:rPr>
                <w:rFonts w:eastAsia="SimSun"/>
                <w:b/>
                <w:bCs/>
                <w:color w:val="000000" w:themeColor="text1"/>
                <w:sz w:val="22"/>
                <w:szCs w:val="22"/>
                <w:lang w:val="en-US" w:eastAsia="zh-CN" w:bidi="ar"/>
                <w14:textFill>
                  <w14:solidFill>
                    <w14:schemeClr w14:val="tx1"/>
                  </w14:solidFill>
                </w14:textFill>
              </w:rPr>
              <w:t xml:space="preserve"> 0,00</w:t>
            </w:r>
          </w:p>
        </w:tc>
      </w:tr>
    </w:tbl>
    <w:p w14:paraId="44038CC0">
      <w:pPr>
        <w:tabs>
          <w:tab w:val="left" w:pos="567"/>
        </w:tabs>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Расходы на обслуживание муниципального долга за 1 квартал 2025 года по сравнению с 1 кварталом 2024 года не изменились и составили 0,00 тыс. руб.</w:t>
      </w:r>
    </w:p>
    <w:p w14:paraId="0109783E">
      <w:pPr>
        <w:tabs>
          <w:tab w:val="left" w:pos="567"/>
        </w:tabs>
        <w:jc w:val="both"/>
        <w:rPr>
          <w:color w:val="376092" w:themeColor="accent1" w:themeShade="BF"/>
          <w:sz w:val="12"/>
          <w:szCs w:val="12"/>
        </w:rPr>
      </w:pPr>
    </w:p>
    <w:p w14:paraId="44F73FED">
      <w:pPr>
        <w:tabs>
          <w:tab w:val="left" w:pos="567"/>
        </w:tabs>
        <w:jc w:val="center"/>
        <w:rPr>
          <w:b/>
          <w:color w:val="000000" w:themeColor="text1"/>
          <w14:textFill>
            <w14:solidFill>
              <w14:schemeClr w14:val="tx1"/>
            </w14:solidFill>
          </w14:textFill>
        </w:rPr>
      </w:pPr>
      <w:r>
        <w:rPr>
          <w:b/>
          <w:color w:val="000000" w:themeColor="text1"/>
          <w14:textFill>
            <w14:solidFill>
              <w14:schemeClr w14:val="tx1"/>
            </w14:solidFill>
          </w14:textFill>
        </w:rPr>
        <w:t>Выводы:</w:t>
      </w:r>
    </w:p>
    <w:p w14:paraId="0AA10937">
      <w:pPr>
        <w:pStyle w:val="10"/>
        <w:numPr>
          <w:ilvl w:val="0"/>
          <w:numId w:val="5"/>
        </w:numPr>
        <w:tabs>
          <w:tab w:val="left" w:pos="284"/>
          <w:tab w:val="left" w:pos="567"/>
        </w:tabs>
        <w:suppressAutoHyphens/>
        <w:ind w:left="0" w:firstLine="0"/>
        <w:jc w:val="both"/>
        <w:rPr>
          <w:color w:val="000000" w:themeColor="text1"/>
          <w14:textFill>
            <w14:solidFill>
              <w14:schemeClr w14:val="tx1"/>
            </w14:solidFill>
          </w14:textFill>
        </w:rPr>
      </w:pPr>
      <w:r>
        <w:rPr>
          <w:color w:val="000000" w:themeColor="text1"/>
          <w14:textFill>
            <w14:solidFill>
              <w14:schemeClr w14:val="tx1"/>
            </w14:solidFill>
          </w14:textFill>
        </w:rPr>
        <w:t>Отчет об исполнении бюджета МО «Ахтубинский район» за 1 квартал 2025 года, утверждённый Постановлением администрации МО «Ахтубинский муниципальный район Астраханской области» от 29.04.2025 №275 поступил в КСП МО «Ахтубинский район» - 29.04.2025 года, своевременно.</w:t>
      </w:r>
    </w:p>
    <w:p w14:paraId="11AD0D91">
      <w:pPr>
        <w:pStyle w:val="10"/>
        <w:numPr>
          <w:ilvl w:val="0"/>
          <w:numId w:val="5"/>
        </w:numPr>
        <w:tabs>
          <w:tab w:val="left" w:pos="284"/>
          <w:tab w:val="left" w:pos="567"/>
        </w:tabs>
        <w:suppressAutoHyphens/>
        <w:ind w:left="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 За 1 квартал 2025 года в доходную часть бюджета поступило 459148,02 тыс. руб. или 26,04% к утверждённому прогнозу (11763197,89 тыс. руб.):</w:t>
      </w:r>
    </w:p>
    <w:p w14:paraId="67DF4A85">
      <w:pPr>
        <w:pStyle w:val="10"/>
        <w:tabs>
          <w:tab w:val="left" w:pos="284"/>
          <w:tab w:val="left" w:pos="567"/>
        </w:tabs>
        <w:suppressAutoHyphens/>
        <w:ind w:left="0"/>
        <w:jc w:val="both"/>
        <w:rPr>
          <w:color w:val="000000" w:themeColor="text1"/>
          <w14:textFill>
            <w14:solidFill>
              <w14:schemeClr w14:val="tx1"/>
            </w14:solidFill>
          </w14:textFill>
        </w:rPr>
      </w:pPr>
      <w:r>
        <w:rPr>
          <w:color w:val="000000" w:themeColor="text1"/>
          <w14:textFill>
            <w14:solidFill>
              <w14:schemeClr w14:val="tx1"/>
            </w14:solidFill>
          </w14:textFill>
        </w:rPr>
        <w:t>- налоговые доходы исполнены на 18,98% (100600,81 тыс. руб.)</w:t>
      </w:r>
    </w:p>
    <w:p w14:paraId="7C57DA9C">
      <w:pPr>
        <w:pStyle w:val="10"/>
        <w:tabs>
          <w:tab w:val="left" w:pos="284"/>
          <w:tab w:val="left" w:pos="567"/>
        </w:tabs>
        <w:suppressAutoHyphens/>
        <w:ind w:left="0"/>
        <w:jc w:val="both"/>
        <w:rPr>
          <w:color w:val="000000" w:themeColor="text1"/>
          <w14:textFill>
            <w14:solidFill>
              <w14:schemeClr w14:val="tx1"/>
            </w14:solidFill>
          </w14:textFill>
        </w:rPr>
      </w:pPr>
      <w:r>
        <w:rPr>
          <w:color w:val="000000" w:themeColor="text1"/>
          <w14:textFill>
            <w14:solidFill>
              <w14:schemeClr w14:val="tx1"/>
            </w14:solidFill>
          </w14:textFill>
        </w:rPr>
        <w:t>- неналоговые доходы исполнены на 26,62% (28531,02 тыс. руб.);</w:t>
      </w:r>
    </w:p>
    <w:p w14:paraId="30410AF6">
      <w:pPr>
        <w:tabs>
          <w:tab w:val="left" w:pos="284"/>
        </w:tabs>
        <w:jc w:val="both"/>
        <w:rPr>
          <w:color w:val="000000" w:themeColor="text1"/>
          <w14:textFill>
            <w14:solidFill>
              <w14:schemeClr w14:val="tx1"/>
            </w14:solidFill>
          </w14:textFill>
        </w:rPr>
      </w:pPr>
      <w:r>
        <w:rPr>
          <w:color w:val="000000" w:themeColor="text1"/>
          <w14:textFill>
            <w14:solidFill>
              <w14:schemeClr w14:val="tx1"/>
            </w14:solidFill>
          </w14:textFill>
        </w:rPr>
        <w:t>- безвозмездные поступления исполнены на 29,31% (330016,19 тыс. руб.).</w:t>
      </w:r>
    </w:p>
    <w:p w14:paraId="5E9CD456">
      <w:pPr>
        <w:ind w:firstLine="567"/>
        <w:jc w:val="both"/>
        <w:rPr>
          <w:color w:val="000000" w:themeColor="text1"/>
          <w14:textFill>
            <w14:solidFill>
              <w14:schemeClr w14:val="tx1"/>
            </w14:solidFill>
          </w14:textFill>
        </w:rPr>
      </w:pPr>
      <w:r>
        <w:rPr>
          <w:color w:val="000000" w:themeColor="text1"/>
          <w14:textFill>
            <w14:solidFill>
              <w14:schemeClr w14:val="tx1"/>
            </w14:solidFill>
          </w14:textFill>
        </w:rPr>
        <w:t>Рост общего объёма доходов относительно аналогичного периода 2024 года составляет 10,6%, или на 44001,27 тыс. руб. за счёт увеличения налоговых доходов на 11445,87 тыс. руб. (12,84%), неналоговых доходов на 6742,71 тыс. руб. (30,95%) и безвозмездных поступлений на 25812,69 тыс. руб. (8,49%).</w:t>
      </w:r>
    </w:p>
    <w:p w14:paraId="2400F02D">
      <w:pPr>
        <w:pStyle w:val="10"/>
        <w:numPr>
          <w:ilvl w:val="0"/>
          <w:numId w:val="5"/>
        </w:numPr>
        <w:shd w:val="clear" w:color="auto" w:fill="FFFFFF"/>
        <w:tabs>
          <w:tab w:val="left" w:pos="284"/>
        </w:tabs>
        <w:ind w:left="0" w:firstLine="0"/>
        <w:jc w:val="both"/>
        <w:rPr>
          <w:color w:val="000000" w:themeColor="text1"/>
          <w14:textFill>
            <w14:solidFill>
              <w14:schemeClr w14:val="tx1"/>
            </w14:solidFill>
          </w14:textFill>
        </w:rPr>
      </w:pPr>
      <w:r>
        <w:rPr>
          <w:color w:val="000000" w:themeColor="text1"/>
          <w14:textFill>
            <w14:solidFill>
              <w14:schemeClr w14:val="tx1"/>
            </w14:solidFill>
          </w14:textFill>
        </w:rPr>
        <w:t>Расходы бюджета МО «Ахтубинский район» за 1 квартал 2025 года исполнены в сумме 441774,56 тыс. руб., или 24,9% от назначений в сводной бюджетной росписи на 31.03.2025г. (1803920,88 тыс. руб.). Рост общего объёма расходов к аналогичному периоду 2024 года составляет 8,07%, или на 32984,7 тыс. руб.</w:t>
      </w:r>
    </w:p>
    <w:p w14:paraId="785E0220">
      <w:pPr>
        <w:pStyle w:val="10"/>
        <w:numPr>
          <w:ilvl w:val="0"/>
          <w:numId w:val="5"/>
        </w:numPr>
        <w:tabs>
          <w:tab w:val="left" w:pos="284"/>
          <w:tab w:val="left" w:pos="567"/>
        </w:tabs>
        <w:suppressAutoHyphens/>
        <w:ind w:left="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По результату исполнения бюджета за 1 квартал 2025 года сложился профицит бюджета в размере 17373,47 тыс. руб. </w:t>
      </w:r>
    </w:p>
    <w:p w14:paraId="63D8A309">
      <w:pPr>
        <w:tabs>
          <w:tab w:val="left" w:pos="284"/>
          <w:tab w:val="left" w:pos="567"/>
        </w:tabs>
        <w:suppressAutoHyphens/>
        <w:jc w:val="both"/>
        <w:rPr>
          <w:color w:val="000000" w:themeColor="text1"/>
          <w:highlight w:val="yellow"/>
          <w14:textFill>
            <w14:solidFill>
              <w14:schemeClr w14:val="tx1"/>
            </w14:solidFill>
          </w14:textFill>
        </w:rPr>
      </w:pPr>
    </w:p>
    <w:p w14:paraId="5FAFDEDC">
      <w:pPr>
        <w:tabs>
          <w:tab w:val="left" w:pos="284"/>
          <w:tab w:val="left" w:pos="567"/>
        </w:tabs>
        <w:suppressAutoHyphens/>
        <w:jc w:val="both"/>
        <w:rPr>
          <w:color w:val="000000" w:themeColor="text1"/>
          <w:highlight w:val="yellow"/>
          <w14:textFill>
            <w14:solidFill>
              <w14:schemeClr w14:val="tx1"/>
            </w14:solidFill>
          </w14:textFill>
        </w:rPr>
      </w:pPr>
    </w:p>
    <w:p w14:paraId="03D961D2">
      <w:pPr>
        <w:tabs>
          <w:tab w:val="left" w:pos="284"/>
          <w:tab w:val="left" w:pos="567"/>
        </w:tabs>
        <w:suppressAutoHyphens/>
        <w:jc w:val="both"/>
        <w:rPr>
          <w:color w:val="000000" w:themeColor="text1"/>
          <w:highlight w:val="yellow"/>
          <w14:textFill>
            <w14:solidFill>
              <w14:schemeClr w14:val="tx1"/>
            </w14:solidFill>
          </w14:textFill>
        </w:rPr>
      </w:pPr>
    </w:p>
    <w:p w14:paraId="4648C6D7">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Председатель </w:t>
      </w:r>
    </w:p>
    <w:p w14:paraId="58F59D39">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КСП МО «Ахтубинский район»</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t>Ю.Ю. Журавлева</w:t>
      </w:r>
    </w:p>
    <w:sectPr>
      <w:headerReference r:id="rId3" w:type="default"/>
      <w:pgSz w:w="11906" w:h="16838"/>
      <w:pgMar w:top="1134" w:right="850" w:bottom="1134"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42882"/>
    </w:sdtPr>
    <w:sdtContent>
      <w:p w14:paraId="4CA7832D">
        <w:pPr>
          <w:pStyle w:val="6"/>
          <w:jc w:val="center"/>
        </w:pPr>
        <w:r>
          <w:fldChar w:fldCharType="begin"/>
        </w:r>
        <w:r>
          <w:instrText xml:space="preserve">PAGE   \* MERGEFORMAT</w:instrText>
        </w:r>
        <w:r>
          <w:fldChar w:fldCharType="separate"/>
        </w:r>
        <w:r>
          <w:t>11</w:t>
        </w:r>
        <w:r>
          <w:fldChar w:fldCharType="end"/>
        </w:r>
      </w:p>
    </w:sdtContent>
  </w:sdt>
  <w:p w14:paraId="7760D0C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F7B5A"/>
    <w:multiLevelType w:val="multilevel"/>
    <w:tmpl w:val="37AF7B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4E42DA6"/>
    <w:multiLevelType w:val="singleLevel"/>
    <w:tmpl w:val="44E42DA6"/>
    <w:lvl w:ilvl="0" w:tentative="0">
      <w:start w:val="1"/>
      <w:numFmt w:val="bullet"/>
      <w:lvlText w:val=""/>
      <w:lvlJc w:val="left"/>
      <w:pPr>
        <w:tabs>
          <w:tab w:val="left" w:pos="420"/>
        </w:tabs>
        <w:ind w:left="420" w:hanging="420"/>
      </w:pPr>
      <w:rPr>
        <w:rFonts w:hint="default" w:ascii="Wingdings" w:hAnsi="Wingdings"/>
        <w:sz w:val="10"/>
        <w:szCs w:val="10"/>
      </w:rPr>
    </w:lvl>
  </w:abstractNum>
  <w:abstractNum w:abstractNumId="2">
    <w:nsid w:val="52A12CA3"/>
    <w:multiLevelType w:val="multilevel"/>
    <w:tmpl w:val="52A12CA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57C55BFB"/>
    <w:multiLevelType w:val="multilevel"/>
    <w:tmpl w:val="57C55BFB"/>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9836E2E"/>
    <w:multiLevelType w:val="multilevel"/>
    <w:tmpl w:val="79836E2E"/>
    <w:lvl w:ilvl="0" w:tentative="0">
      <w:start w:val="1"/>
      <w:numFmt w:val="decimal"/>
      <w:lvlText w:val="%1."/>
      <w:lvlJc w:val="left"/>
      <w:pPr>
        <w:ind w:left="720" w:hanging="360"/>
      </w:pPr>
      <w:rPr>
        <w:b/>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48"/>
    <w:rsid w:val="000049AB"/>
    <w:rsid w:val="000051AB"/>
    <w:rsid w:val="00005CAC"/>
    <w:rsid w:val="00013A82"/>
    <w:rsid w:val="000153C9"/>
    <w:rsid w:val="000229FF"/>
    <w:rsid w:val="00030B60"/>
    <w:rsid w:val="00031ECB"/>
    <w:rsid w:val="00034342"/>
    <w:rsid w:val="0005017B"/>
    <w:rsid w:val="00050650"/>
    <w:rsid w:val="00052509"/>
    <w:rsid w:val="00057892"/>
    <w:rsid w:val="00064DC9"/>
    <w:rsid w:val="000667F0"/>
    <w:rsid w:val="00072EA5"/>
    <w:rsid w:val="00077D6A"/>
    <w:rsid w:val="000863A4"/>
    <w:rsid w:val="00087A25"/>
    <w:rsid w:val="000917E8"/>
    <w:rsid w:val="00092577"/>
    <w:rsid w:val="00096640"/>
    <w:rsid w:val="000A7459"/>
    <w:rsid w:val="000A7E4C"/>
    <w:rsid w:val="000B4721"/>
    <w:rsid w:val="000B7709"/>
    <w:rsid w:val="000C7734"/>
    <w:rsid w:val="000D180C"/>
    <w:rsid w:val="000D655E"/>
    <w:rsid w:val="00114EBB"/>
    <w:rsid w:val="00115F17"/>
    <w:rsid w:val="00120EEB"/>
    <w:rsid w:val="001243DC"/>
    <w:rsid w:val="00124877"/>
    <w:rsid w:val="00132A97"/>
    <w:rsid w:val="00147CB5"/>
    <w:rsid w:val="00150D10"/>
    <w:rsid w:val="00151250"/>
    <w:rsid w:val="00151594"/>
    <w:rsid w:val="00155CFB"/>
    <w:rsid w:val="00164275"/>
    <w:rsid w:val="001709A6"/>
    <w:rsid w:val="001723D1"/>
    <w:rsid w:val="00173D2E"/>
    <w:rsid w:val="001761E4"/>
    <w:rsid w:val="0017669A"/>
    <w:rsid w:val="00185F11"/>
    <w:rsid w:val="00186666"/>
    <w:rsid w:val="001868C3"/>
    <w:rsid w:val="001918AC"/>
    <w:rsid w:val="00195F1A"/>
    <w:rsid w:val="001A095B"/>
    <w:rsid w:val="001A21AC"/>
    <w:rsid w:val="001A2DEF"/>
    <w:rsid w:val="001A51CF"/>
    <w:rsid w:val="001A768F"/>
    <w:rsid w:val="001B7203"/>
    <w:rsid w:val="001C0076"/>
    <w:rsid w:val="001C19C5"/>
    <w:rsid w:val="001D310B"/>
    <w:rsid w:val="001D3736"/>
    <w:rsid w:val="001D3790"/>
    <w:rsid w:val="001D5988"/>
    <w:rsid w:val="001D6554"/>
    <w:rsid w:val="001D6D45"/>
    <w:rsid w:val="001E3D5B"/>
    <w:rsid w:val="001E69AF"/>
    <w:rsid w:val="00200175"/>
    <w:rsid w:val="00203B5D"/>
    <w:rsid w:val="00203D06"/>
    <w:rsid w:val="0021599D"/>
    <w:rsid w:val="002205D5"/>
    <w:rsid w:val="002213FE"/>
    <w:rsid w:val="0022215C"/>
    <w:rsid w:val="00224396"/>
    <w:rsid w:val="00226DE3"/>
    <w:rsid w:val="002273CB"/>
    <w:rsid w:val="00230357"/>
    <w:rsid w:val="00230AC9"/>
    <w:rsid w:val="002402B7"/>
    <w:rsid w:val="00241228"/>
    <w:rsid w:val="00243468"/>
    <w:rsid w:val="00252598"/>
    <w:rsid w:val="00254DC6"/>
    <w:rsid w:val="00255CBE"/>
    <w:rsid w:val="00255D25"/>
    <w:rsid w:val="002613BD"/>
    <w:rsid w:val="00262623"/>
    <w:rsid w:val="00267E82"/>
    <w:rsid w:val="00280864"/>
    <w:rsid w:val="00281085"/>
    <w:rsid w:val="00282993"/>
    <w:rsid w:val="00286A37"/>
    <w:rsid w:val="00286CCE"/>
    <w:rsid w:val="00290D4C"/>
    <w:rsid w:val="002974F3"/>
    <w:rsid w:val="002B5AB1"/>
    <w:rsid w:val="002C3094"/>
    <w:rsid w:val="002C4D43"/>
    <w:rsid w:val="002D670E"/>
    <w:rsid w:val="002F0AA0"/>
    <w:rsid w:val="002F70CF"/>
    <w:rsid w:val="00301743"/>
    <w:rsid w:val="00303667"/>
    <w:rsid w:val="00306B9E"/>
    <w:rsid w:val="003134DE"/>
    <w:rsid w:val="00317904"/>
    <w:rsid w:val="00320527"/>
    <w:rsid w:val="003218B7"/>
    <w:rsid w:val="003319FD"/>
    <w:rsid w:val="00334E32"/>
    <w:rsid w:val="00336F7B"/>
    <w:rsid w:val="00341F5F"/>
    <w:rsid w:val="00347948"/>
    <w:rsid w:val="00354C4E"/>
    <w:rsid w:val="00361843"/>
    <w:rsid w:val="00363139"/>
    <w:rsid w:val="00366089"/>
    <w:rsid w:val="00373D34"/>
    <w:rsid w:val="00377BF7"/>
    <w:rsid w:val="00380781"/>
    <w:rsid w:val="003825D2"/>
    <w:rsid w:val="003A11CA"/>
    <w:rsid w:val="003B4189"/>
    <w:rsid w:val="003B47BA"/>
    <w:rsid w:val="003C1F0E"/>
    <w:rsid w:val="003C5567"/>
    <w:rsid w:val="003C5918"/>
    <w:rsid w:val="003C5A7C"/>
    <w:rsid w:val="003D4D6F"/>
    <w:rsid w:val="003E331B"/>
    <w:rsid w:val="003E6433"/>
    <w:rsid w:val="003F1E26"/>
    <w:rsid w:val="00405E11"/>
    <w:rsid w:val="004112E8"/>
    <w:rsid w:val="00413861"/>
    <w:rsid w:val="00414C08"/>
    <w:rsid w:val="00421E92"/>
    <w:rsid w:val="0042259F"/>
    <w:rsid w:val="00422FF8"/>
    <w:rsid w:val="0043032F"/>
    <w:rsid w:val="00437001"/>
    <w:rsid w:val="00443DE7"/>
    <w:rsid w:val="0044608E"/>
    <w:rsid w:val="00447AC3"/>
    <w:rsid w:val="0045117C"/>
    <w:rsid w:val="0045541F"/>
    <w:rsid w:val="004622EC"/>
    <w:rsid w:val="00465EC3"/>
    <w:rsid w:val="004676EC"/>
    <w:rsid w:val="00475872"/>
    <w:rsid w:val="004802E8"/>
    <w:rsid w:val="00480F98"/>
    <w:rsid w:val="00481975"/>
    <w:rsid w:val="00482098"/>
    <w:rsid w:val="00485FCE"/>
    <w:rsid w:val="0048656F"/>
    <w:rsid w:val="00494D47"/>
    <w:rsid w:val="00496C4B"/>
    <w:rsid w:val="00496CFC"/>
    <w:rsid w:val="004A0719"/>
    <w:rsid w:val="004A0F90"/>
    <w:rsid w:val="004A173A"/>
    <w:rsid w:val="004A282A"/>
    <w:rsid w:val="004A307E"/>
    <w:rsid w:val="004B7AF3"/>
    <w:rsid w:val="004D10B1"/>
    <w:rsid w:val="004D270B"/>
    <w:rsid w:val="004D36B5"/>
    <w:rsid w:val="004D7784"/>
    <w:rsid w:val="004F0DA6"/>
    <w:rsid w:val="004F3869"/>
    <w:rsid w:val="004F3E35"/>
    <w:rsid w:val="00503C12"/>
    <w:rsid w:val="00511CD9"/>
    <w:rsid w:val="00514B91"/>
    <w:rsid w:val="00521FCF"/>
    <w:rsid w:val="005232F3"/>
    <w:rsid w:val="005248D9"/>
    <w:rsid w:val="00527B46"/>
    <w:rsid w:val="0053576F"/>
    <w:rsid w:val="00553EC8"/>
    <w:rsid w:val="005635A8"/>
    <w:rsid w:val="005711E1"/>
    <w:rsid w:val="0058006E"/>
    <w:rsid w:val="005851D3"/>
    <w:rsid w:val="005930B6"/>
    <w:rsid w:val="005A0F66"/>
    <w:rsid w:val="005A6846"/>
    <w:rsid w:val="005A70DC"/>
    <w:rsid w:val="005A75F0"/>
    <w:rsid w:val="005B11D8"/>
    <w:rsid w:val="005B1888"/>
    <w:rsid w:val="005B586A"/>
    <w:rsid w:val="005C2115"/>
    <w:rsid w:val="005C468C"/>
    <w:rsid w:val="005C774B"/>
    <w:rsid w:val="005D2AC7"/>
    <w:rsid w:val="005E1518"/>
    <w:rsid w:val="005E1EE5"/>
    <w:rsid w:val="005F4F77"/>
    <w:rsid w:val="00601BAE"/>
    <w:rsid w:val="00602C8B"/>
    <w:rsid w:val="00610ADC"/>
    <w:rsid w:val="00616663"/>
    <w:rsid w:val="00621DC7"/>
    <w:rsid w:val="00624483"/>
    <w:rsid w:val="00624A0F"/>
    <w:rsid w:val="006308CF"/>
    <w:rsid w:val="00640B9D"/>
    <w:rsid w:val="00653849"/>
    <w:rsid w:val="006540A5"/>
    <w:rsid w:val="00655895"/>
    <w:rsid w:val="00657D3D"/>
    <w:rsid w:val="006623BC"/>
    <w:rsid w:val="00670F41"/>
    <w:rsid w:val="00673522"/>
    <w:rsid w:val="0067517B"/>
    <w:rsid w:val="00680B97"/>
    <w:rsid w:val="006851C7"/>
    <w:rsid w:val="00691E89"/>
    <w:rsid w:val="00694644"/>
    <w:rsid w:val="0069465A"/>
    <w:rsid w:val="006962AE"/>
    <w:rsid w:val="006A4C40"/>
    <w:rsid w:val="006A7090"/>
    <w:rsid w:val="006B5DC3"/>
    <w:rsid w:val="006D39B7"/>
    <w:rsid w:val="006D4484"/>
    <w:rsid w:val="006D4B40"/>
    <w:rsid w:val="006D53DF"/>
    <w:rsid w:val="006E3E92"/>
    <w:rsid w:val="006E7800"/>
    <w:rsid w:val="007024E8"/>
    <w:rsid w:val="0070394D"/>
    <w:rsid w:val="00714F6B"/>
    <w:rsid w:val="00715898"/>
    <w:rsid w:val="00721738"/>
    <w:rsid w:val="00735FB4"/>
    <w:rsid w:val="0074480D"/>
    <w:rsid w:val="0075157D"/>
    <w:rsid w:val="00751E4C"/>
    <w:rsid w:val="007534B1"/>
    <w:rsid w:val="007848B1"/>
    <w:rsid w:val="00786ADE"/>
    <w:rsid w:val="0079047B"/>
    <w:rsid w:val="007A3935"/>
    <w:rsid w:val="007A734E"/>
    <w:rsid w:val="007C032A"/>
    <w:rsid w:val="007C2BB2"/>
    <w:rsid w:val="007C33D7"/>
    <w:rsid w:val="007D12F1"/>
    <w:rsid w:val="007D22C7"/>
    <w:rsid w:val="007E437F"/>
    <w:rsid w:val="007E5B88"/>
    <w:rsid w:val="007E7086"/>
    <w:rsid w:val="007F01B3"/>
    <w:rsid w:val="007F17F1"/>
    <w:rsid w:val="00800B13"/>
    <w:rsid w:val="0081159D"/>
    <w:rsid w:val="008173ED"/>
    <w:rsid w:val="00823D34"/>
    <w:rsid w:val="00824C1D"/>
    <w:rsid w:val="008322F7"/>
    <w:rsid w:val="00833068"/>
    <w:rsid w:val="00834EEC"/>
    <w:rsid w:val="00840762"/>
    <w:rsid w:val="0084632B"/>
    <w:rsid w:val="008519B7"/>
    <w:rsid w:val="00851E07"/>
    <w:rsid w:val="00852E09"/>
    <w:rsid w:val="00867945"/>
    <w:rsid w:val="008839FB"/>
    <w:rsid w:val="00884FF4"/>
    <w:rsid w:val="00890354"/>
    <w:rsid w:val="00891BCA"/>
    <w:rsid w:val="0089548B"/>
    <w:rsid w:val="008A7799"/>
    <w:rsid w:val="008B12BF"/>
    <w:rsid w:val="008B2B40"/>
    <w:rsid w:val="008B4489"/>
    <w:rsid w:val="008B7CBC"/>
    <w:rsid w:val="008C1097"/>
    <w:rsid w:val="008C22E1"/>
    <w:rsid w:val="008C451F"/>
    <w:rsid w:val="008D5B59"/>
    <w:rsid w:val="008D6AE5"/>
    <w:rsid w:val="008E0BF4"/>
    <w:rsid w:val="008F2080"/>
    <w:rsid w:val="008F6C0B"/>
    <w:rsid w:val="008F72F6"/>
    <w:rsid w:val="00903FF5"/>
    <w:rsid w:val="00910B79"/>
    <w:rsid w:val="00913010"/>
    <w:rsid w:val="009164DD"/>
    <w:rsid w:val="009208EB"/>
    <w:rsid w:val="00924CAD"/>
    <w:rsid w:val="00924F74"/>
    <w:rsid w:val="00927DD3"/>
    <w:rsid w:val="00931252"/>
    <w:rsid w:val="0093599D"/>
    <w:rsid w:val="00941A15"/>
    <w:rsid w:val="009442F0"/>
    <w:rsid w:val="00945E46"/>
    <w:rsid w:val="00947BC9"/>
    <w:rsid w:val="009532E3"/>
    <w:rsid w:val="00953853"/>
    <w:rsid w:val="0095413D"/>
    <w:rsid w:val="00954C72"/>
    <w:rsid w:val="0096042C"/>
    <w:rsid w:val="0096134B"/>
    <w:rsid w:val="00962018"/>
    <w:rsid w:val="00966AC6"/>
    <w:rsid w:val="009831A1"/>
    <w:rsid w:val="009934D8"/>
    <w:rsid w:val="009A3080"/>
    <w:rsid w:val="009C03D9"/>
    <w:rsid w:val="009C35C7"/>
    <w:rsid w:val="009C55E9"/>
    <w:rsid w:val="009D1BC0"/>
    <w:rsid w:val="009E27F0"/>
    <w:rsid w:val="009F5AD1"/>
    <w:rsid w:val="009F7F51"/>
    <w:rsid w:val="00A003C6"/>
    <w:rsid w:val="00A019AA"/>
    <w:rsid w:val="00A024FC"/>
    <w:rsid w:val="00A044CB"/>
    <w:rsid w:val="00A15E7C"/>
    <w:rsid w:val="00A25AB1"/>
    <w:rsid w:val="00A312CB"/>
    <w:rsid w:val="00A54BBD"/>
    <w:rsid w:val="00A55DAA"/>
    <w:rsid w:val="00A570CE"/>
    <w:rsid w:val="00A60EC4"/>
    <w:rsid w:val="00A76FD4"/>
    <w:rsid w:val="00A876A6"/>
    <w:rsid w:val="00A9120D"/>
    <w:rsid w:val="00AA65F0"/>
    <w:rsid w:val="00AA710C"/>
    <w:rsid w:val="00AB581F"/>
    <w:rsid w:val="00AB7A5D"/>
    <w:rsid w:val="00AD1626"/>
    <w:rsid w:val="00AD3717"/>
    <w:rsid w:val="00AD5148"/>
    <w:rsid w:val="00AD5B1B"/>
    <w:rsid w:val="00AE0F15"/>
    <w:rsid w:val="00AE2B95"/>
    <w:rsid w:val="00AE4B17"/>
    <w:rsid w:val="00AF222A"/>
    <w:rsid w:val="00AF300F"/>
    <w:rsid w:val="00AF5C62"/>
    <w:rsid w:val="00B06CDC"/>
    <w:rsid w:val="00B10BF9"/>
    <w:rsid w:val="00B11EB3"/>
    <w:rsid w:val="00B135E3"/>
    <w:rsid w:val="00B258A0"/>
    <w:rsid w:val="00B331F6"/>
    <w:rsid w:val="00B35424"/>
    <w:rsid w:val="00B558A1"/>
    <w:rsid w:val="00B64057"/>
    <w:rsid w:val="00B73E83"/>
    <w:rsid w:val="00B81239"/>
    <w:rsid w:val="00B903BF"/>
    <w:rsid w:val="00B90FF0"/>
    <w:rsid w:val="00BB0875"/>
    <w:rsid w:val="00BB1FEA"/>
    <w:rsid w:val="00BB233C"/>
    <w:rsid w:val="00BB2E14"/>
    <w:rsid w:val="00BB58E5"/>
    <w:rsid w:val="00BD1632"/>
    <w:rsid w:val="00BD49F4"/>
    <w:rsid w:val="00BE1B51"/>
    <w:rsid w:val="00BE20F0"/>
    <w:rsid w:val="00BE2C8A"/>
    <w:rsid w:val="00BF5E27"/>
    <w:rsid w:val="00C14CF1"/>
    <w:rsid w:val="00C21F7D"/>
    <w:rsid w:val="00C224D8"/>
    <w:rsid w:val="00C3112E"/>
    <w:rsid w:val="00C33B71"/>
    <w:rsid w:val="00C4053E"/>
    <w:rsid w:val="00C53438"/>
    <w:rsid w:val="00C53B99"/>
    <w:rsid w:val="00C55EB4"/>
    <w:rsid w:val="00C6182C"/>
    <w:rsid w:val="00C6610B"/>
    <w:rsid w:val="00C66CC8"/>
    <w:rsid w:val="00C71B31"/>
    <w:rsid w:val="00C860C7"/>
    <w:rsid w:val="00C90BEE"/>
    <w:rsid w:val="00C94B30"/>
    <w:rsid w:val="00C95434"/>
    <w:rsid w:val="00CA1325"/>
    <w:rsid w:val="00CB3AAD"/>
    <w:rsid w:val="00CD3343"/>
    <w:rsid w:val="00CD3731"/>
    <w:rsid w:val="00CD5491"/>
    <w:rsid w:val="00CE422D"/>
    <w:rsid w:val="00CE44BD"/>
    <w:rsid w:val="00CE5115"/>
    <w:rsid w:val="00CE5C92"/>
    <w:rsid w:val="00D00AFB"/>
    <w:rsid w:val="00D05993"/>
    <w:rsid w:val="00D1096C"/>
    <w:rsid w:val="00D11CA9"/>
    <w:rsid w:val="00D12CB7"/>
    <w:rsid w:val="00D1411D"/>
    <w:rsid w:val="00D162F0"/>
    <w:rsid w:val="00D225B0"/>
    <w:rsid w:val="00D34DE9"/>
    <w:rsid w:val="00D445F5"/>
    <w:rsid w:val="00D4514C"/>
    <w:rsid w:val="00D458F3"/>
    <w:rsid w:val="00D505AE"/>
    <w:rsid w:val="00D5466B"/>
    <w:rsid w:val="00D61F61"/>
    <w:rsid w:val="00D7180B"/>
    <w:rsid w:val="00D82910"/>
    <w:rsid w:val="00D832EE"/>
    <w:rsid w:val="00D86FE6"/>
    <w:rsid w:val="00D8730A"/>
    <w:rsid w:val="00D94BBE"/>
    <w:rsid w:val="00DB3EA3"/>
    <w:rsid w:val="00DB64C6"/>
    <w:rsid w:val="00DC228A"/>
    <w:rsid w:val="00DC471B"/>
    <w:rsid w:val="00DD2D36"/>
    <w:rsid w:val="00DE0350"/>
    <w:rsid w:val="00DE1F68"/>
    <w:rsid w:val="00DE7222"/>
    <w:rsid w:val="00DF219A"/>
    <w:rsid w:val="00DF2912"/>
    <w:rsid w:val="00E02493"/>
    <w:rsid w:val="00E03795"/>
    <w:rsid w:val="00E044D9"/>
    <w:rsid w:val="00E057AC"/>
    <w:rsid w:val="00E154DC"/>
    <w:rsid w:val="00E1610D"/>
    <w:rsid w:val="00E24DE2"/>
    <w:rsid w:val="00E26111"/>
    <w:rsid w:val="00E312D8"/>
    <w:rsid w:val="00E317B3"/>
    <w:rsid w:val="00E3226A"/>
    <w:rsid w:val="00E50449"/>
    <w:rsid w:val="00E51F5D"/>
    <w:rsid w:val="00E52970"/>
    <w:rsid w:val="00E644DA"/>
    <w:rsid w:val="00E6625C"/>
    <w:rsid w:val="00E70552"/>
    <w:rsid w:val="00E86FE5"/>
    <w:rsid w:val="00E964FA"/>
    <w:rsid w:val="00EB118C"/>
    <w:rsid w:val="00EB1EE1"/>
    <w:rsid w:val="00EB2EF1"/>
    <w:rsid w:val="00EB477D"/>
    <w:rsid w:val="00EB48C0"/>
    <w:rsid w:val="00EB4EF4"/>
    <w:rsid w:val="00EB59AC"/>
    <w:rsid w:val="00EB5C5F"/>
    <w:rsid w:val="00EC5238"/>
    <w:rsid w:val="00EC7D4D"/>
    <w:rsid w:val="00EE0158"/>
    <w:rsid w:val="00EF05C9"/>
    <w:rsid w:val="00EF4D5B"/>
    <w:rsid w:val="00EF537A"/>
    <w:rsid w:val="00F0179F"/>
    <w:rsid w:val="00F02043"/>
    <w:rsid w:val="00F02D31"/>
    <w:rsid w:val="00F042E2"/>
    <w:rsid w:val="00F06443"/>
    <w:rsid w:val="00F06857"/>
    <w:rsid w:val="00F07568"/>
    <w:rsid w:val="00F10E97"/>
    <w:rsid w:val="00F1234B"/>
    <w:rsid w:val="00F1305C"/>
    <w:rsid w:val="00F1425C"/>
    <w:rsid w:val="00F1581E"/>
    <w:rsid w:val="00F17906"/>
    <w:rsid w:val="00F36F41"/>
    <w:rsid w:val="00F4307B"/>
    <w:rsid w:val="00F45D7A"/>
    <w:rsid w:val="00F462C6"/>
    <w:rsid w:val="00F515F0"/>
    <w:rsid w:val="00F54EDE"/>
    <w:rsid w:val="00F62CB5"/>
    <w:rsid w:val="00F64024"/>
    <w:rsid w:val="00F65262"/>
    <w:rsid w:val="00F66709"/>
    <w:rsid w:val="00F67E53"/>
    <w:rsid w:val="00F766E2"/>
    <w:rsid w:val="00F776C4"/>
    <w:rsid w:val="00F82959"/>
    <w:rsid w:val="00F82CF2"/>
    <w:rsid w:val="00F969EF"/>
    <w:rsid w:val="00FA60CB"/>
    <w:rsid w:val="00FA6EF6"/>
    <w:rsid w:val="00FB002E"/>
    <w:rsid w:val="00FB2BE7"/>
    <w:rsid w:val="00FC4C10"/>
    <w:rsid w:val="00FC6394"/>
    <w:rsid w:val="00FD560B"/>
    <w:rsid w:val="00FD6623"/>
    <w:rsid w:val="00FE4483"/>
    <w:rsid w:val="00FE740D"/>
    <w:rsid w:val="02071F25"/>
    <w:rsid w:val="027B2485"/>
    <w:rsid w:val="0EA95D64"/>
    <w:rsid w:val="0EAA37E4"/>
    <w:rsid w:val="0F7A3B81"/>
    <w:rsid w:val="0F8A31B7"/>
    <w:rsid w:val="1E327446"/>
    <w:rsid w:val="1ECD4F22"/>
    <w:rsid w:val="23BD5A59"/>
    <w:rsid w:val="28155AF7"/>
    <w:rsid w:val="2B7E5966"/>
    <w:rsid w:val="2DE26CF2"/>
    <w:rsid w:val="30EB4393"/>
    <w:rsid w:val="36C079B1"/>
    <w:rsid w:val="39045116"/>
    <w:rsid w:val="3A175C0B"/>
    <w:rsid w:val="3DC40346"/>
    <w:rsid w:val="40E05450"/>
    <w:rsid w:val="44D615E2"/>
    <w:rsid w:val="45D737C7"/>
    <w:rsid w:val="45F85DD1"/>
    <w:rsid w:val="4AB354E8"/>
    <w:rsid w:val="541553CA"/>
    <w:rsid w:val="5574659C"/>
    <w:rsid w:val="59777CA8"/>
    <w:rsid w:val="677A7319"/>
    <w:rsid w:val="6EF35A55"/>
    <w:rsid w:val="71B274FC"/>
    <w:rsid w:val="74862039"/>
    <w:rsid w:val="7E042EEE"/>
    <w:rsid w:val="7E1F48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autoRedefine/>
    <w:unhideWhenUsed/>
    <w:qFormat/>
    <w:uiPriority w:val="99"/>
    <w:rPr>
      <w:color w:val="0000FF" w:themeColor="hyperlink"/>
      <w:u w:val="single"/>
      <w14:textFill>
        <w14:solidFill>
          <w14:schemeClr w14:val="hlink"/>
        </w14:solidFill>
      </w14:textFill>
    </w:rPr>
  </w:style>
  <w:style w:type="paragraph" w:styleId="5">
    <w:name w:val="Balloon Text"/>
    <w:basedOn w:val="1"/>
    <w:link w:val="13"/>
    <w:semiHidden/>
    <w:unhideWhenUsed/>
    <w:qFormat/>
    <w:uiPriority w:val="99"/>
    <w:rPr>
      <w:rFonts w:ascii="Tahoma" w:hAnsi="Tahoma" w:cs="Tahoma"/>
      <w:sz w:val="16"/>
      <w:szCs w:val="16"/>
    </w:rPr>
  </w:style>
  <w:style w:type="paragraph" w:styleId="6">
    <w:name w:val="header"/>
    <w:basedOn w:val="1"/>
    <w:link w:val="11"/>
    <w:unhideWhenUsed/>
    <w:qFormat/>
    <w:uiPriority w:val="99"/>
    <w:pPr>
      <w:tabs>
        <w:tab w:val="center" w:pos="4677"/>
        <w:tab w:val="right" w:pos="9355"/>
      </w:tabs>
    </w:pPr>
  </w:style>
  <w:style w:type="paragraph" w:styleId="7">
    <w:name w:val="Body Text"/>
    <w:basedOn w:val="1"/>
    <w:link w:val="14"/>
    <w:autoRedefine/>
    <w:qFormat/>
    <w:uiPriority w:val="0"/>
    <w:pPr>
      <w:suppressAutoHyphens/>
      <w:spacing w:after="120"/>
    </w:pPr>
    <w:rPr>
      <w:lang w:eastAsia="ar-SA"/>
    </w:rPr>
  </w:style>
  <w:style w:type="paragraph" w:styleId="8">
    <w:name w:val="footer"/>
    <w:basedOn w:val="1"/>
    <w:link w:val="12"/>
    <w:autoRedefine/>
    <w:unhideWhenUsed/>
    <w:qFormat/>
    <w:uiPriority w:val="99"/>
    <w:pPr>
      <w:tabs>
        <w:tab w:val="center" w:pos="4677"/>
        <w:tab w:val="right" w:pos="9355"/>
      </w:tabs>
    </w:pPr>
  </w:style>
  <w:style w:type="table" w:styleId="9">
    <w:name w:val="Table Grid"/>
    <w:basedOn w:val="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left="720"/>
      <w:contextualSpacing/>
    </w:pPr>
  </w:style>
  <w:style w:type="character" w:customStyle="1" w:styleId="11">
    <w:name w:val="Верхний колонтитул Знак"/>
    <w:basedOn w:val="2"/>
    <w:link w:val="6"/>
    <w:autoRedefine/>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2"/>
    <w:link w:val="8"/>
    <w:autoRedefine/>
    <w:qFormat/>
    <w:uiPriority w:val="99"/>
    <w:rPr>
      <w:rFonts w:ascii="Times New Roman" w:hAnsi="Times New Roman" w:eastAsia="Times New Roman" w:cs="Times New Roman"/>
      <w:sz w:val="24"/>
      <w:szCs w:val="24"/>
      <w:lang w:eastAsia="ru-RU"/>
    </w:rPr>
  </w:style>
  <w:style w:type="character" w:customStyle="1" w:styleId="13">
    <w:name w:val="Текст выноски Знак"/>
    <w:basedOn w:val="2"/>
    <w:link w:val="5"/>
    <w:autoRedefine/>
    <w:semiHidden/>
    <w:qFormat/>
    <w:uiPriority w:val="99"/>
    <w:rPr>
      <w:rFonts w:ascii="Tahoma" w:hAnsi="Tahoma" w:eastAsia="Times New Roman" w:cs="Tahoma"/>
      <w:sz w:val="16"/>
      <w:szCs w:val="16"/>
      <w:lang w:eastAsia="ru-RU"/>
    </w:rPr>
  </w:style>
  <w:style w:type="character" w:customStyle="1" w:styleId="14">
    <w:name w:val="Основной текст Знак"/>
    <w:basedOn w:val="2"/>
    <w:link w:val="7"/>
    <w:autoRedefine/>
    <w:qFormat/>
    <w:uiPriority w:val="0"/>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20&#1082;&#1074;&#1072;&#1088;&#1090;&#1072;&#1083;%202025%20&#1075;\&#1056;&#1072;&#1089;&#1095;&#1077;&#1090;&#1099;%201%20&#1082;&#1074;.%202025%20&#107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20&#1082;&#1074;&#1072;&#1088;&#1090;&#1072;&#1083;%202025%20&#1075;\&#1056;&#1072;&#1089;&#1095;&#1077;&#1090;&#1099;%201%20&#1082;&#1074;.%202025%20&#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20&#1082;&#1074;&#1072;&#1088;&#1090;&#1072;&#1083;%202025%20&#1075;\&#1056;&#1072;&#1089;&#1095;&#1077;&#1090;&#1099;%201%20&#1082;&#1074;.%202025%20&#107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20&#1082;&#1074;&#1072;&#1088;&#1090;&#1072;&#1083;%202025%20&#1075;\&#1056;&#1072;&#1089;&#1095;&#1077;&#1090;&#1099;%201%20&#1082;&#1074;.%202025%20&#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1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100">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налоговых поступлений </a:t>
            </a:r>
            <a:endParaRPr lang="ru-RU" sz="11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title>
    <c:autoTitleDeleted val="0"/>
    <c:plotArea>
      <c:layout/>
      <c:barChart>
        <c:barDir val="col"/>
        <c:grouping val="clustered"/>
        <c:varyColors val="0"/>
        <c:ser>
          <c:idx val="0"/>
          <c:order val="0"/>
          <c:tx>
            <c:strRef>
              <c:f>'[Расчеты 1 кв. 2025 г.xlsx]таблица 2'!$K$3</c:f>
              <c:strCache>
                <c:ptCount val="1"/>
                <c:pt idx="0">
                  <c:v>Сумма (тыс. руб.)</c:v>
                </c:pt>
              </c:strCache>
            </c:strRef>
          </c:tx>
          <c:invertIfNegative val="0"/>
          <c:dLbls>
            <c:delete val="1"/>
          </c:dLbls>
          <c:cat>
            <c:strRef>
              <c:f>'[Расчеты 1 кв. 2025 г.xlsx]таблица 2'!$J$4:$J$8</c:f>
              <c:strCache>
                <c:ptCount val="5"/>
                <c:pt idx="0">
                  <c:v>НДФЛ</c:v>
                </c:pt>
                <c:pt idx="1">
                  <c:v>Акцизы</c:v>
                </c:pt>
                <c:pt idx="2">
                  <c:v>Налоги на совокупный доход</c:v>
                </c:pt>
                <c:pt idx="3">
                  <c:v>Госпошлина</c:v>
                </c:pt>
                <c:pt idx="4">
                  <c:v>Задолженность и перерасчеты</c:v>
                </c:pt>
              </c:strCache>
            </c:strRef>
          </c:cat>
          <c:val>
            <c:numRef>
              <c:f>'[Расчеты 1 кв. 2025 г.xlsx]таблица 2'!$K$4:$K$8</c:f>
              <c:numCache>
                <c:formatCode>0.00</c:formatCode>
                <c:ptCount val="5"/>
                <c:pt idx="0">
                  <c:v>64976.03633</c:v>
                </c:pt>
                <c:pt idx="1">
                  <c:v>11182.49895</c:v>
                </c:pt>
                <c:pt idx="2">
                  <c:v>16878.27662</c:v>
                </c:pt>
                <c:pt idx="3">
                  <c:v>7564.00053</c:v>
                </c:pt>
                <c:pt idx="4">
                  <c:v>0</c:v>
                </c:pt>
              </c:numCache>
            </c:numRef>
          </c:val>
        </c:ser>
        <c:dLbls>
          <c:showLegendKey val="0"/>
          <c:showVal val="0"/>
          <c:showCatName val="0"/>
          <c:showSerName val="0"/>
          <c:showPercent val="0"/>
          <c:showBubbleSize val="0"/>
        </c:dLbls>
        <c:gapWidth val="150"/>
        <c:axId val="323139936"/>
        <c:axId val="323141112"/>
      </c:barChart>
      <c:catAx>
        <c:axId val="3231399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23141112"/>
        <c:crosses val="autoZero"/>
        <c:auto val="1"/>
        <c:lblAlgn val="ctr"/>
        <c:lblOffset val="100"/>
        <c:noMultiLvlLbl val="0"/>
      </c:catAx>
      <c:valAx>
        <c:axId val="323141112"/>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23139936"/>
        <c:crosses val="autoZero"/>
        <c:crossBetween val="between"/>
      </c:valAx>
    </c:plotArea>
    <c:legend>
      <c:legendPos val="r"/>
      <c:legendEntry>
        <c:idx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fe0911ba-bed8-4fc6-adf3-7784c41aadc8}"/>
      </c:ext>
    </c:extLst>
  </c:chart>
  <c:txPr>
    <a:bodyPr/>
    <a:lstStyle/>
    <a:p>
      <a:pPr>
        <a:defRPr lang="ru-RU">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08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080">
                <a:latin typeface="Times New Roman" panose="02020603050405020304" charset="0"/>
                <a:ea typeface="Times New Roman" panose="02020603050405020304" charset="0"/>
                <a:cs typeface="Times New Roman" panose="02020603050405020304" charset="0"/>
                <a:sym typeface="Times New Roman" panose="02020603050405020304" charset="0"/>
              </a:rPr>
              <a:t>Динамика налоговых поступлений за 2023-2025 гг.</a:t>
            </a:r>
            <a:endParaRPr lang="ru-RU" sz="108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'[Расчеты 1 кв. 2025 г.xlsx]таблица 2'!$B$68</c:f>
              <c:strCache>
                <c:ptCount val="1"/>
                <c:pt idx="0">
                  <c:v>2023</c:v>
                </c:pt>
              </c:strCache>
            </c:strRef>
          </c:tx>
          <c:spPr>
            <a:solidFill>
              <a:schemeClr val="accent1"/>
            </a:solidFill>
            <a:ln>
              <a:noFill/>
            </a:ln>
            <a:effectLst/>
          </c:spPr>
          <c:invertIfNegative val="0"/>
          <c:dLbls>
            <c:delete val="1"/>
          </c:dLbls>
          <c:cat>
            <c:strRef>
              <c:f>'[Расчеты 1 кв. 2025 г.xlsx]таблица 2'!$A$69:$A$72</c:f>
              <c:strCache>
                <c:ptCount val="4"/>
                <c:pt idx="0">
                  <c:v>УСН</c:v>
                </c:pt>
                <c:pt idx="1">
                  <c:v>ЕНВД</c:v>
                </c:pt>
                <c:pt idx="2">
                  <c:v>ЕСХН</c:v>
                </c:pt>
                <c:pt idx="3">
                  <c:v>Патент</c:v>
                </c:pt>
              </c:strCache>
            </c:strRef>
          </c:cat>
          <c:val>
            <c:numRef>
              <c:f>'[Расчеты 1 кв. 2025 г.xlsx]таблица 2'!$B$69:$B$72</c:f>
              <c:numCache>
                <c:formatCode>#\ ##0.00</c:formatCode>
                <c:ptCount val="4"/>
                <c:pt idx="0">
                  <c:v>5494.76</c:v>
                </c:pt>
                <c:pt idx="1">
                  <c:v>-237.56</c:v>
                </c:pt>
                <c:pt idx="2">
                  <c:v>1134.45</c:v>
                </c:pt>
                <c:pt idx="3">
                  <c:v>56.71</c:v>
                </c:pt>
              </c:numCache>
            </c:numRef>
          </c:val>
        </c:ser>
        <c:ser>
          <c:idx val="1"/>
          <c:order val="1"/>
          <c:tx>
            <c:strRef>
              <c:f>'[Расчеты 1 кв. 2025 г.xlsx]таблица 2'!$C$68</c:f>
              <c:strCache>
                <c:ptCount val="1"/>
                <c:pt idx="0">
                  <c:v>2024</c:v>
                </c:pt>
              </c:strCache>
            </c:strRef>
          </c:tx>
          <c:spPr>
            <a:solidFill>
              <a:schemeClr val="accent2"/>
            </a:solidFill>
            <a:ln>
              <a:noFill/>
            </a:ln>
            <a:effectLst/>
          </c:spPr>
          <c:invertIfNegative val="0"/>
          <c:dLbls>
            <c:delete val="1"/>
          </c:dLbls>
          <c:cat>
            <c:strRef>
              <c:f>'[Расчеты 1 кв. 2025 г.xlsx]таблица 2'!$A$69:$A$72</c:f>
              <c:strCache>
                <c:ptCount val="4"/>
                <c:pt idx="0">
                  <c:v>УСН</c:v>
                </c:pt>
                <c:pt idx="1">
                  <c:v>ЕНВД</c:v>
                </c:pt>
                <c:pt idx="2">
                  <c:v>ЕСХН</c:v>
                </c:pt>
                <c:pt idx="3">
                  <c:v>Патент</c:v>
                </c:pt>
              </c:strCache>
            </c:strRef>
          </c:cat>
          <c:val>
            <c:numRef>
              <c:f>'[Расчеты 1 кв. 2025 г.xlsx]таблица 2'!$C$69:$C$72</c:f>
              <c:numCache>
                <c:formatCode>General</c:formatCode>
                <c:ptCount val="4"/>
                <c:pt idx="0">
                  <c:v>7294.69895</c:v>
                </c:pt>
                <c:pt idx="1">
                  <c:v>34.46227</c:v>
                </c:pt>
                <c:pt idx="2">
                  <c:v>2499.9384</c:v>
                </c:pt>
                <c:pt idx="3">
                  <c:v>7735.3204</c:v>
                </c:pt>
              </c:numCache>
            </c:numRef>
          </c:val>
        </c:ser>
        <c:ser>
          <c:idx val="2"/>
          <c:order val="2"/>
          <c:tx>
            <c:strRef>
              <c:f>'[Расчеты 1 кв. 2025 г.xlsx]таблица 2'!$D$68</c:f>
              <c:strCache>
                <c:ptCount val="1"/>
                <c:pt idx="0">
                  <c:v>2025</c:v>
                </c:pt>
              </c:strCache>
            </c:strRef>
          </c:tx>
          <c:spPr>
            <a:solidFill>
              <a:schemeClr val="accent3"/>
            </a:solidFill>
            <a:ln>
              <a:noFill/>
            </a:ln>
            <a:effectLst/>
          </c:spPr>
          <c:invertIfNegative val="0"/>
          <c:dLbls>
            <c:delete val="1"/>
          </c:dLbls>
          <c:cat>
            <c:strRef>
              <c:f>'[Расчеты 1 кв. 2025 г.xlsx]таблица 2'!$A$69:$A$72</c:f>
              <c:strCache>
                <c:ptCount val="4"/>
                <c:pt idx="0">
                  <c:v>УСН</c:v>
                </c:pt>
                <c:pt idx="1">
                  <c:v>ЕНВД</c:v>
                </c:pt>
                <c:pt idx="2">
                  <c:v>ЕСХН</c:v>
                </c:pt>
                <c:pt idx="3">
                  <c:v>Патент</c:v>
                </c:pt>
              </c:strCache>
            </c:strRef>
          </c:cat>
          <c:val>
            <c:numRef>
              <c:f>'[Расчеты 1 кв. 2025 г.xlsx]таблица 2'!$D$69:$D$72</c:f>
              <c:numCache>
                <c:formatCode>#\ ##0.00</c:formatCode>
                <c:ptCount val="4"/>
                <c:pt idx="0">
                  <c:v>6815.38789</c:v>
                </c:pt>
                <c:pt idx="1">
                  <c:v>33.20183</c:v>
                </c:pt>
                <c:pt idx="2">
                  <c:v>3714.91331</c:v>
                </c:pt>
                <c:pt idx="3">
                  <c:v>6314.77359</c:v>
                </c:pt>
              </c:numCache>
            </c:numRef>
          </c:val>
        </c:ser>
        <c:dLbls>
          <c:showLegendKey val="0"/>
          <c:showVal val="0"/>
          <c:showCatName val="0"/>
          <c:showSerName val="0"/>
          <c:showPercent val="0"/>
          <c:showBubbleSize val="0"/>
        </c:dLbls>
        <c:gapWidth val="246"/>
        <c:overlap val="-28"/>
        <c:axId val="322479688"/>
        <c:axId val="322474592"/>
      </c:barChart>
      <c:catAx>
        <c:axId val="322479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22474592"/>
        <c:crosses val="autoZero"/>
        <c:auto val="1"/>
        <c:lblAlgn val="ctr"/>
        <c:lblOffset val="100"/>
        <c:noMultiLvlLbl val="0"/>
      </c:catAx>
      <c:valAx>
        <c:axId val="322474592"/>
        <c:scaling>
          <c:orientation val="minMax"/>
        </c:scaling>
        <c:delete val="0"/>
        <c:axPos val="l"/>
        <c:majorGridlines>
          <c:spPr>
            <a:ln w="9525" cap="flat" cmpd="sng" algn="ctr">
              <a:solidFill>
                <a:schemeClr val="lt1">
                  <a:lumMod val="90200"/>
                </a:schemeClr>
              </a:solidFill>
              <a:round/>
            </a:ln>
            <a:effectLst/>
          </c:spPr>
        </c:majorGridlines>
        <c:numFmt formatCode="#\ ##0.00"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2247968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0457aa9c-b2ae-4e2f-a7b8-c669c7496a89}"/>
      </c:ext>
    </c:extLst>
  </c:chart>
  <c:spPr>
    <a:solidFill>
      <a:schemeClr val="bg1"/>
    </a:solidFill>
    <a:ln w="9525" cap="flat" cmpd="sng" algn="ctr">
      <a:solidFill>
        <a:schemeClr val="tx1">
          <a:lumMod val="15000"/>
          <a:lumOff val="85000"/>
        </a:schemeClr>
      </a:solidFill>
      <a:round/>
    </a:ln>
    <a:effectLst/>
  </c:spPr>
  <c:txPr>
    <a:bodyPr/>
    <a:lstStyle/>
    <a:p>
      <a:pPr>
        <a:defRPr lang="ru-RU" sz="9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96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960" baseline="0">
                <a:latin typeface="Times New Roman" panose="02020603050405020304" charset="0"/>
                <a:ea typeface="Times New Roman" panose="02020603050405020304" charset="0"/>
                <a:cs typeface="Times New Roman" panose="02020603050405020304" charset="0"/>
                <a:sym typeface="Times New Roman" panose="02020603050405020304" charset="0"/>
              </a:rPr>
              <a:t>Структура неналоговых поступлений </a:t>
            </a:r>
            <a:endParaRPr lang="ru-RU" sz="960" baseline="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16388888888889"/>
          <c:y val="0.0173385325266774"/>
        </c:manualLayout>
      </c:layout>
      <c:overlay val="0"/>
    </c:title>
    <c:autoTitleDeleted val="0"/>
    <c:plotArea>
      <c:layout/>
      <c:pieChart>
        <c:varyColors val="1"/>
        <c:ser>
          <c:idx val="0"/>
          <c:order val="0"/>
          <c:tx>
            <c:strRef>
              <c:f>'[Расчеты 1 кв. 2025 г.xlsx]таблица 2'!$B$35</c:f>
              <c:strCache>
                <c:ptCount val="1"/>
                <c:pt idx="0">
                  <c:v>(тыс. руб.)</c:v>
                </c:pt>
              </c:strCache>
            </c:strRef>
          </c:tx>
          <c:explosion val="0"/>
          <c:dPt>
            <c:idx val="0"/>
            <c:bubble3D val="0"/>
          </c:dPt>
          <c:dPt>
            <c:idx val="1"/>
            <c:bubble3D val="0"/>
          </c:dPt>
          <c:dPt>
            <c:idx val="2"/>
            <c:bubble3D val="0"/>
          </c:dPt>
          <c:dPt>
            <c:idx val="3"/>
            <c:bubble3D val="0"/>
          </c:dPt>
          <c:dPt>
            <c:idx val="4"/>
            <c:bubble3D val="0"/>
          </c:dPt>
          <c:dPt>
            <c:idx val="5"/>
            <c:bubble3D val="0"/>
          </c:dPt>
          <c:dLbls>
            <c:dLbl>
              <c:idx val="3"/>
              <c:layout>
                <c:manualLayout>
                  <c:x val="-0.057910753791241"/>
                  <c:y val="0.01672231719558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6009168549648"/>
                  <c:y val="0.003354651877696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'[Расчеты 1 кв. 2025 г.xlsx]таблица 2'!$A$36:$A$41</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c:v>
                </c:pt>
                <c:pt idx="3">
                  <c:v>Доходы от продажи материальных и нематериальных активов</c:v>
                </c:pt>
                <c:pt idx="4">
                  <c:v>Штрафы и др.</c:v>
                </c:pt>
                <c:pt idx="5">
                  <c:v>Прочие неналоговые доходы</c:v>
                </c:pt>
              </c:strCache>
            </c:strRef>
          </c:cat>
          <c:val>
            <c:numRef>
              <c:f>'[Расчеты 1 кв. 2025 г.xlsx]таблица 2'!$B$36:$B$41</c:f>
              <c:numCache>
                <c:formatCode>0</c:formatCode>
                <c:ptCount val="6"/>
                <c:pt idx="0">
                  <c:v>9443.10736</c:v>
                </c:pt>
                <c:pt idx="1">
                  <c:v>269.35119</c:v>
                </c:pt>
                <c:pt idx="2">
                  <c:v>16598.31506</c:v>
                </c:pt>
                <c:pt idx="3">
                  <c:v>1713.12251</c:v>
                </c:pt>
                <c:pt idx="4">
                  <c:v>559.01744</c:v>
                </c:pt>
                <c:pt idx="5">
                  <c:v>-51.89264</c:v>
                </c:pt>
              </c:numCache>
            </c:numRef>
          </c:val>
        </c:ser>
        <c:dLbls>
          <c:showLegendKey val="0"/>
          <c:showVal val="1"/>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4"/>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5"/>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txPr>
        <a:bodyPr rot="0" spcFirstLastPara="0" vertOverflow="ellipsis" vert="horz" wrap="square" anchor="ctr" anchorCtr="1"/>
        <a:lstStyle/>
        <a:p>
          <a:pPr>
            <a:defRPr lang="ru-RU"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e540ecd7-e871-49b4-8fcb-9c48dfcebb98}"/>
      </c:ext>
    </c:extLst>
  </c:chart>
  <c:txPr>
    <a:bodyPr/>
    <a:lstStyle/>
    <a:p>
      <a:pPr>
        <a:defRPr lang="ru-RU"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ru-RU"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ru-RU" sz="1200">
                <a:latin typeface="Times New Roman" panose="02020603050405020304" charset="0"/>
                <a:ea typeface="Times New Roman" panose="02020603050405020304" charset="0"/>
                <a:cs typeface="Times New Roman" panose="02020603050405020304" charset="0"/>
                <a:sym typeface="Times New Roman" panose="02020603050405020304" charset="0"/>
              </a:rPr>
              <a:t>Динамика неналоговых поступлений за 2023-2025гг.</a:t>
            </a:r>
            <a:endParaRPr lang="ru-RU"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'[Расчеты 1 кв. 2025 г.xlsx]таблица 2'!$A$77</c:f>
              <c:strCache>
                <c:ptCount val="1"/>
                <c:pt idx="0">
                  <c:v>Доходы от использования имущества</c:v>
                </c:pt>
              </c:strCache>
            </c:strRef>
          </c:tx>
          <c:spPr>
            <a:solidFill>
              <a:schemeClr val="accent1"/>
            </a:solidFill>
            <a:ln>
              <a:noFill/>
            </a:ln>
            <a:effectLst/>
          </c:spPr>
          <c:invertIfNegative val="0"/>
          <c:dLbls>
            <c:delete val="1"/>
          </c:dLbls>
          <c:cat>
            <c:numRef>
              <c:f>'[Расчеты 1 кв. 2025 г.xlsx]таблица 2'!$B$76:$D$76</c:f>
              <c:numCache>
                <c:formatCode>General</c:formatCode>
                <c:ptCount val="3"/>
                <c:pt idx="0">
                  <c:v>2023</c:v>
                </c:pt>
                <c:pt idx="1">
                  <c:v>2024</c:v>
                </c:pt>
                <c:pt idx="2">
                  <c:v>2025</c:v>
                </c:pt>
              </c:numCache>
            </c:numRef>
          </c:cat>
          <c:val>
            <c:numRef>
              <c:f>'[Расчеты 1 кв. 2025 г.xlsx]таблица 2'!$B$77:$D$77</c:f>
              <c:numCache>
                <c:formatCode>General</c:formatCode>
                <c:ptCount val="3"/>
                <c:pt idx="0">
                  <c:v>5158.72</c:v>
                </c:pt>
                <c:pt idx="1">
                  <c:v>4232.26</c:v>
                </c:pt>
                <c:pt idx="2">
                  <c:v>9443.11</c:v>
                </c:pt>
              </c:numCache>
            </c:numRef>
          </c:val>
        </c:ser>
        <c:ser>
          <c:idx val="1"/>
          <c:order val="1"/>
          <c:tx>
            <c:strRef>
              <c:f>'[Расчеты 1 кв. 2025 г.xlsx]таблица 2'!$A$78</c:f>
              <c:strCache>
                <c:ptCount val="1"/>
                <c:pt idx="0">
                  <c:v>Доходы от оказания платных услуг</c:v>
                </c:pt>
              </c:strCache>
            </c:strRef>
          </c:tx>
          <c:spPr>
            <a:solidFill>
              <a:schemeClr val="accent2"/>
            </a:solidFill>
            <a:ln>
              <a:noFill/>
            </a:ln>
            <a:effectLst/>
          </c:spPr>
          <c:invertIfNegative val="0"/>
          <c:dLbls>
            <c:delete val="1"/>
          </c:dLbls>
          <c:cat>
            <c:numRef>
              <c:f>'[Расчеты 1 кв. 2025 г.xlsx]таблица 2'!$B$76:$D$76</c:f>
              <c:numCache>
                <c:formatCode>General</c:formatCode>
                <c:ptCount val="3"/>
                <c:pt idx="0">
                  <c:v>2023</c:v>
                </c:pt>
                <c:pt idx="1">
                  <c:v>2024</c:v>
                </c:pt>
                <c:pt idx="2">
                  <c:v>2025</c:v>
                </c:pt>
              </c:numCache>
            </c:numRef>
          </c:cat>
          <c:val>
            <c:numRef>
              <c:f>'[Расчеты 1 кв. 2025 г.xlsx]таблица 2'!$B$78:$D$78</c:f>
              <c:numCache>
                <c:formatCode>General</c:formatCode>
                <c:ptCount val="3"/>
                <c:pt idx="0">
                  <c:v>12305.59</c:v>
                </c:pt>
                <c:pt idx="1">
                  <c:v>14614.94</c:v>
                </c:pt>
                <c:pt idx="2">
                  <c:v>16598.32</c:v>
                </c:pt>
              </c:numCache>
            </c:numRef>
          </c:val>
        </c:ser>
        <c:ser>
          <c:idx val="2"/>
          <c:order val="2"/>
          <c:tx>
            <c:strRef>
              <c:f>'[Расчеты 1 кв. 2025 г.xlsx]таблица 2'!$A$79</c:f>
              <c:strCache>
                <c:ptCount val="1"/>
                <c:pt idx="0">
                  <c:v>Доходы от продажи материальных и нематериальных активов</c:v>
                </c:pt>
              </c:strCache>
            </c:strRef>
          </c:tx>
          <c:spPr>
            <a:solidFill>
              <a:schemeClr val="accent3"/>
            </a:solidFill>
            <a:ln>
              <a:noFill/>
            </a:ln>
            <a:effectLst/>
          </c:spPr>
          <c:invertIfNegative val="0"/>
          <c:dLbls>
            <c:delete val="1"/>
          </c:dLbls>
          <c:cat>
            <c:numRef>
              <c:f>'[Расчеты 1 кв. 2025 г.xlsx]таблица 2'!$B$76:$D$76</c:f>
              <c:numCache>
                <c:formatCode>General</c:formatCode>
                <c:ptCount val="3"/>
                <c:pt idx="0">
                  <c:v>2023</c:v>
                </c:pt>
                <c:pt idx="1">
                  <c:v>2024</c:v>
                </c:pt>
                <c:pt idx="2">
                  <c:v>2025</c:v>
                </c:pt>
              </c:numCache>
            </c:numRef>
          </c:cat>
          <c:val>
            <c:numRef>
              <c:f>'[Расчеты 1 кв. 2025 г.xlsx]таблица 2'!$B$79:$D$79</c:f>
              <c:numCache>
                <c:formatCode>General</c:formatCode>
                <c:ptCount val="3"/>
                <c:pt idx="0">
                  <c:v>312.74</c:v>
                </c:pt>
                <c:pt idx="1">
                  <c:v>870.65</c:v>
                </c:pt>
                <c:pt idx="2">
                  <c:v>1713.12</c:v>
                </c:pt>
              </c:numCache>
            </c:numRef>
          </c:val>
        </c:ser>
        <c:dLbls>
          <c:showLegendKey val="0"/>
          <c:showVal val="0"/>
          <c:showCatName val="0"/>
          <c:showSerName val="0"/>
          <c:showPercent val="0"/>
          <c:showBubbleSize val="0"/>
        </c:dLbls>
        <c:gapWidth val="246"/>
        <c:overlap val="-28"/>
        <c:axId val="645591088"/>
        <c:axId val="645593440"/>
      </c:barChart>
      <c:catAx>
        <c:axId val="6455910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45593440"/>
        <c:crosses val="autoZero"/>
        <c:auto val="1"/>
        <c:lblAlgn val="ctr"/>
        <c:lblOffset val="100"/>
        <c:noMultiLvlLbl val="0"/>
      </c:catAx>
      <c:valAx>
        <c:axId val="6455934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4559108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89a04423-4ebf-4b06-93d2-f678b44d1424}"/>
      </c:ext>
    </c:extLst>
  </c:chart>
  <c:spPr>
    <a:solidFill>
      <a:schemeClr val="bg1"/>
    </a:solidFill>
    <a:ln w="9525" cap="flat" cmpd="sng" algn="ctr">
      <a:solidFill>
        <a:schemeClr val="tx1">
          <a:lumMod val="15000"/>
          <a:lumOff val="85000"/>
        </a:schemeClr>
      </a:solidFill>
      <a:round/>
    </a:ln>
    <a:effectLst/>
  </c:spPr>
  <c:txPr>
    <a:bodyPr/>
    <a:lstStyle/>
    <a:p>
      <a:pPr>
        <a:def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5F7B-5FA9-44AC-BC76-CD613AEF3642}">
  <ds:schemaRefs/>
</ds:datastoreItem>
</file>

<file path=docProps/app.xml><?xml version="1.0" encoding="utf-8"?>
<Properties xmlns="http://schemas.openxmlformats.org/officeDocument/2006/extended-properties" xmlns:vt="http://schemas.openxmlformats.org/officeDocument/2006/docPropsVTypes">
  <Template>Normal</Template>
  <Pages>11</Pages>
  <Words>3652</Words>
  <Characters>20817</Characters>
  <Lines>173</Lines>
  <Paragraphs>48</Paragraphs>
  <TotalTime>102</TotalTime>
  <ScaleCrop>false</ScaleCrop>
  <LinksUpToDate>false</LinksUpToDate>
  <CharactersWithSpaces>24421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2015-08-12T08:38:00Z</dcterms:created>
  <dc:creator>Светлана Цапко</dc:creator>
  <cp:lastModifiedBy>y_zhuravleva</cp:lastModifiedBy>
  <cp:lastPrinted>2024-05-02T09:53:00Z</cp:lastPrinted>
  <dcterms:modified xsi:type="dcterms:W3CDTF">2025-04-30T10:13:28Z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41E38629EA06426390E52B9D6ECBCC4F</vt:lpwstr>
  </property>
</Properties>
</file>