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4FAE6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 w14:paraId="51C1528A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 w14:paraId="5C4B2CF0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Волгоградская ул., д.141, г. Ахтубинск, Астраханская обл.,416500, Тел. (8-85141) 4-04-24 </w:t>
      </w:r>
    </w:p>
    <w:p w14:paraId="5460E0A5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ОКПО 78317643, ОГРН 1063022000282, ИНН/КПП 3001040259/300101001</w:t>
      </w:r>
    </w:p>
    <w:p w14:paraId="03F3F107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EEDC99">
      <w:pPr>
        <w:pBdr>
          <w:top w:val="thinThickSmallGap" w:color="auto" w:sz="24" w:space="1"/>
        </w:pBd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627921"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ЗАКЛЮЧЕНИЕ</w:t>
      </w:r>
    </w:p>
    <w:p w14:paraId="25ADA12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отчётности</w:t>
      </w:r>
    </w:p>
    <w:p w14:paraId="6B981E61"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Управления сельского хозяйства администрации муниципального образования «Ахтубинский муниципальный район Астраханской области» за 2024 год</w:t>
      </w:r>
    </w:p>
    <w:p w14:paraId="4B668D59">
      <w:pPr>
        <w:spacing w:after="0" w:line="240" w:lineRule="auto"/>
        <w:ind w:left="567" w:right="-144"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46FF38F">
      <w:pPr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18.04.2025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№З-15/2025</w:t>
      </w:r>
    </w:p>
    <w:p w14:paraId="18D309BE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0CC1003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Основание для проведения контрольного мероприятия: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Статья 264.4 Бюджетного кодекса Российской Федерации, п.3.1 Плана работы Контрольно-счетной палаты муниципального образования «Ахтубинский муниципальный район Астраханской области» на 2025 год, распоряжение Контрольно-счетной палаты муниципального образования «Ахтубинский муниципальный район Астраханской области» от 20.03.2025 г. №10-р.</w:t>
      </w:r>
    </w:p>
    <w:p w14:paraId="38E324BE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42EC26E5">
      <w:pPr>
        <w:pStyle w:val="15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районного бюджета;</w:t>
      </w:r>
    </w:p>
    <w:p w14:paraId="71ACE101">
      <w:pPr>
        <w:pStyle w:val="15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16C2139C">
      <w:pPr>
        <w:pStyle w:val="15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14:paraId="0446F82E">
      <w:pPr>
        <w:pStyle w:val="15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 w14:paraId="66593698">
      <w:pPr>
        <w:spacing w:after="0" w:line="240" w:lineRule="auto"/>
        <w:jc w:val="both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pacing w:val="2"/>
          <w:sz w:val="24"/>
          <w:szCs w:val="24"/>
          <w:lang w:eastAsia="ru-RU"/>
        </w:rPr>
        <w:t>Проверяемый период:</w:t>
      </w: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 xml:space="preserve"> 2024 год.</w:t>
      </w:r>
    </w:p>
    <w:p w14:paraId="52955023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является годовая бюджетная отчетность Управления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сельского хозяйства администрации муниципального образования «Ахтубинский муниципальный район Астраханской области»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2024 год.</w:t>
      </w:r>
    </w:p>
    <w:p w14:paraId="4A148F22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Метод проведения проверки: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камеральный, выборочный.</w:t>
      </w:r>
    </w:p>
    <w:p w14:paraId="2CC7F3F6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Срок проведения контрольного мероприятия: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>с 20.03.2025 г. по 19.04.2025 г.</w:t>
      </w:r>
    </w:p>
    <w:p w14:paraId="69C0CAA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5037B6F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Руководитель – Татаринов В.В.</w:t>
      </w:r>
    </w:p>
    <w:p w14:paraId="10D6104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Заведующий сектором финансово - экономической деятельности и бухгалтерского учёта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Федянина О.А.</w:t>
      </w:r>
    </w:p>
    <w:p w14:paraId="3BE34EB9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Исполнитель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контрольного мероприятия: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zh-CN"/>
        </w:rPr>
        <w:t xml:space="preserve"> председатель Контрольно-счетной палаты Журавлева Ю.Ю.</w:t>
      </w:r>
    </w:p>
    <w:p w14:paraId="2ED0AC5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Применяемые сокращения:</w:t>
      </w:r>
    </w:p>
    <w:p w14:paraId="52C46B09">
      <w:pPr>
        <w:spacing w:after="0" w:line="240" w:lineRule="auto"/>
        <w:ind w:firstLine="488" w:firstLineChars="200"/>
        <w:jc w:val="both"/>
        <w:rPr>
          <w:rFonts w:ascii="Times New Roman" w:hAnsi="Times New Roman" w:eastAsia="Times New Roman" w:cs="Times New Roman"/>
          <w:i/>
          <w:i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rFonts w:ascii="Times New Roman" w:hAnsi="Times New Roman" w:eastAsia="Times New Roman" w:cs="Times New Roman"/>
          <w:i/>
          <w:iCs/>
          <w:color w:val="2D2D2D"/>
          <w:spacing w:val="2"/>
          <w:sz w:val="24"/>
          <w:szCs w:val="24"/>
          <w:lang w:eastAsia="ru-RU"/>
        </w:rPr>
        <w:t>Контрольно-счетная палата, КСП МО «Ахтубинский район»;</w:t>
      </w:r>
    </w:p>
    <w:p w14:paraId="1853036E">
      <w:pPr>
        <w:pStyle w:val="15"/>
        <w:spacing w:after="120" w:afterLines="50" w:line="240" w:lineRule="auto"/>
        <w:ind w:left="0" w:firstLine="480" w:firstLineChars="20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Управление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сельского хозяйства администрации муниципального образования «Ахтубинский муниципальный район Астраханской области»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Управление сельского хозяйства;</w:t>
      </w:r>
    </w:p>
    <w:p w14:paraId="310E996E">
      <w:pPr>
        <w:pStyle w:val="15"/>
        <w:spacing w:after="120" w:afterLines="50" w:line="240" w:lineRule="auto"/>
        <w:ind w:left="0"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Администрация муниципального образования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«Ахтубинский муниципальный район Астраханской области» -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>Администрация МО «Ахтубинский район»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;</w:t>
      </w:r>
    </w:p>
    <w:p w14:paraId="5C432B86">
      <w:pPr>
        <w:pStyle w:val="15"/>
        <w:spacing w:after="120" w:afterLines="50" w:line="240" w:lineRule="auto"/>
        <w:ind w:left="0" w:firstLine="480" w:firstLineChars="20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Приказ финансового управления администрации муниципального образования «Ахтубинский муниципальный район Астраханской области» «О внесении изменений в сводную бюджетную роспись бюджета муниципального образования «Ахтубинский муниципальный район Астраханской области» на 2024 год и плановый период 2025 и 2026 годов» от 28.12.2024 г. №180-С -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сводная бюджетная роспись от 28.12.2024 г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503DA83F">
      <w:pPr>
        <w:spacing w:after="0" w:line="240" w:lineRule="auto"/>
        <w:ind w:right="79" w:firstLine="480" w:firstLineChars="20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Основанием для проведения внешней проверки годового отчета за 2024 год являются следующие нормативные правовые акты:</w:t>
      </w:r>
    </w:p>
    <w:p w14:paraId="0989C115">
      <w:pPr>
        <w:spacing w:after="0" w:line="240" w:lineRule="auto"/>
        <w:ind w:right="7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Бюджетный кодекс Российской Федерации (далее – БК РФ);</w:t>
      </w:r>
    </w:p>
    <w:p w14:paraId="2586B6A7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16.03.2017г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16.03.2017г №295); </w:t>
      </w:r>
    </w:p>
    <w:p w14:paraId="4AA53A7C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324C4EB1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№157н);</w:t>
      </w:r>
    </w:p>
    <w:p w14:paraId="5217C25C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№162н).</w:t>
      </w:r>
    </w:p>
    <w:p w14:paraId="6DBABD7B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от 31.12.2016 №257н);</w:t>
      </w:r>
    </w:p>
    <w:p w14:paraId="38A623E6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от 15.04.2021 №61н)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.</w:t>
      </w:r>
    </w:p>
    <w:p w14:paraId="4F5036CF">
      <w:pPr>
        <w:pStyle w:val="15"/>
        <w:spacing w:after="0" w:line="240" w:lineRule="auto"/>
        <w:ind w:left="0"/>
        <w:jc w:val="both"/>
        <w:rPr>
          <w:rFonts w:ascii="Times New Roman" w:hAnsi="Times New Roman" w:eastAsia="Times New Roman"/>
          <w:sz w:val="24"/>
          <w:szCs w:val="24"/>
          <w:lang w:val="en-US" w:eastAsia="ru-RU"/>
        </w:rPr>
      </w:pPr>
    </w:p>
    <w:p w14:paraId="133C6528"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Общие сведения</w:t>
      </w:r>
    </w:p>
    <w:p w14:paraId="27ABF4DB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Полное наименование: Управление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сельского хозяйства администрации муниципального образования «Ахтубинский муниципальный район Астраханской области»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3B00EF6C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 w14:paraId="2406FFB5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(85141) 4-04-46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</w:p>
    <w:p w14:paraId="5DC4ECF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ahtubinskucx@mail.ru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6C7B304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ИНН/КПП: 3001001556/ 300101001.</w:t>
      </w:r>
    </w:p>
    <w:p w14:paraId="5AC183D7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Подведомственных учреждений не имеет.</w:t>
      </w:r>
    </w:p>
    <w:p w14:paraId="29CF305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Управлению сельского хозяйства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tbl>
      <w:tblPr>
        <w:tblStyle w:val="4"/>
        <w:tblW w:w="1006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52"/>
        <w:gridCol w:w="7799"/>
      </w:tblGrid>
      <w:tr w14:paraId="251D9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96DB648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</w:t>
            </w:r>
          </w:p>
          <w:p w14:paraId="18EDAD4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12F9B5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BF6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Назначение счета</w:t>
            </w:r>
          </w:p>
        </w:tc>
      </w:tr>
      <w:tr w14:paraId="66E3E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F74E8A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E302E1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03</w:t>
            </w:r>
            <w:r>
              <w:rPr>
                <w:rFonts w:ascii="Times New Roman" w:hAnsi="Times New Roman" w:eastAsia="Calibri" w:cs="Times New Roman"/>
                <w:bCs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Cs/>
              </w:rPr>
              <w:t>03980</w:t>
            </w:r>
          </w:p>
        </w:tc>
        <w:tc>
          <w:tcPr>
            <w:tcW w:w="7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1C10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счёт ПБС</w:t>
            </w:r>
          </w:p>
        </w:tc>
      </w:tr>
      <w:tr w14:paraId="7403D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BC2FE7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27E4CD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5</w:t>
            </w:r>
            <w:r>
              <w:rPr>
                <w:rFonts w:ascii="Times New Roman" w:hAnsi="Times New Roman" w:eastAsia="Calibri" w:cs="Times New Roman"/>
                <w:bCs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Cs/>
              </w:rPr>
              <w:t>03980</w:t>
            </w:r>
          </w:p>
        </w:tc>
        <w:tc>
          <w:tcPr>
            <w:tcW w:w="7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9F9B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счёт для учёта операций со средствами, поступающими во временное распоряжение получателя бюджетных средств</w:t>
            </w:r>
          </w:p>
        </w:tc>
      </w:tr>
    </w:tbl>
    <w:p w14:paraId="79D0688C">
      <w:pPr>
        <w:widowControl w:val="0"/>
        <w:suppressAutoHyphens/>
        <w:overflowPunct w:val="0"/>
        <w:spacing w:before="120"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Ответственными должностными лицами за финансово - хозяйственную деятельность Управления сельского хозяйства в проверяемом периоде являлись с правом:</w:t>
      </w:r>
    </w:p>
    <w:p w14:paraId="256D1240"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 w14:paraId="1CD63BB6">
      <w:pPr>
        <w:pStyle w:val="10"/>
        <w:spacing w:before="0" w:beforeAutospacing="0" w:afterAutospacing="0"/>
        <w:jc w:val="both"/>
      </w:pPr>
      <w:r>
        <w:t>- Начальник управления сельского хозяйства администрации муниципального образования «Ахтубинский район» - Татаринов Виктор Васильевич, назначен на должность с 09.06.2021г. по настоящее время (распоряжение администрации МО «Ахтубинский район» от 09.06.2021г. №104 л/с);</w:t>
      </w:r>
    </w:p>
    <w:p w14:paraId="1940B56D">
      <w:pPr>
        <w:pStyle w:val="10"/>
        <w:spacing w:before="0" w:beforeAutospacing="0" w:afterAutospacing="0"/>
        <w:jc w:val="both"/>
      </w:pPr>
      <w:r>
        <w:t xml:space="preserve">- Заместитель начальника - начальник финансово - экономического отдела - Чернухина Ольга Викторовна, назначена на должность 18.06.2019г. по настоящее время (приказ Управления сельского хозяйства от 18.06.2019г. №27). </w:t>
      </w:r>
    </w:p>
    <w:p w14:paraId="3BB8F7E3"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второй подписи:</w:t>
      </w:r>
    </w:p>
    <w:p w14:paraId="6E701A4E">
      <w:pPr>
        <w:pStyle w:val="10"/>
        <w:spacing w:before="0" w:beforeAutospacing="0" w:afterAutospacing="0"/>
        <w:jc w:val="both"/>
      </w:pPr>
      <w:r>
        <w:t>- Заведующий сектором финансово - экономической деятельности и бухгалтерского учёта - Федянина Ольга Александровна, назначена на должность с 01.01.2013г. по настоящее время (приказ Управления сельского хозяйства от 28.12.2012г. №44).</w:t>
      </w:r>
    </w:p>
    <w:p w14:paraId="43E34F1F">
      <w:pPr>
        <w:pStyle w:val="10"/>
        <w:spacing w:before="0" w:beforeAutospacing="0" w:after="0" w:afterAutospacing="0"/>
        <w:ind w:firstLine="480" w:firstLineChars="200"/>
        <w:jc w:val="both"/>
        <w:rPr>
          <w:lang w:eastAsia="zh-CN"/>
        </w:rPr>
      </w:pPr>
      <w:r>
        <w:rPr>
          <w:lang w:eastAsia="zh-CN"/>
        </w:rPr>
        <w:t>В соответствии со ст.264.4 БК РФ, п.3.3. Порядка от 16.03.2017 №295 для ГРБС установлен срок представления годовой отчетности не позднее 20 марта текущего финансового года.</w:t>
      </w:r>
    </w:p>
    <w:p w14:paraId="513BF580">
      <w:pPr>
        <w:pStyle w:val="10"/>
        <w:spacing w:before="0" w:beforeAutospacing="0" w:after="0" w:afterAutospacing="0"/>
        <w:ind w:firstLine="480" w:firstLineChars="200"/>
        <w:jc w:val="both"/>
        <w:rPr>
          <w:lang w:eastAsia="zh-CN"/>
        </w:rPr>
      </w:pPr>
      <w:r>
        <w:rPr>
          <w:lang w:eastAsia="zh-CN"/>
        </w:rPr>
        <w:t>Бюджетная отчетность за 2024 год направлена в адрес КСП МО «Ахтубинский район» в соответствии с установленным сроком (письмо от 20.03.2025г. исх. №233).</w:t>
      </w:r>
    </w:p>
    <w:p w14:paraId="2CAFEEE5">
      <w:pPr>
        <w:pStyle w:val="10"/>
        <w:spacing w:before="0" w:beforeAutospacing="0" w:after="0" w:afterAutospacing="0"/>
        <w:ind w:firstLine="240" w:firstLineChars="200"/>
        <w:jc w:val="both"/>
        <w:rPr>
          <w:sz w:val="12"/>
          <w:szCs w:val="12"/>
          <w:lang w:eastAsia="zh-CN"/>
        </w:rPr>
      </w:pPr>
    </w:p>
    <w:p w14:paraId="08D5C286">
      <w:pPr>
        <w:pStyle w:val="15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отчетности</w:t>
      </w:r>
    </w:p>
    <w:p w14:paraId="7811CCAC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отчетности проведена в соответствии с требованиями Инструкции №191н. </w:t>
      </w:r>
    </w:p>
    <w:p w14:paraId="0E27FBDE">
      <w:pPr>
        <w:pStyle w:val="1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п.11.1, п.59.1, п.70.1 Инструкции №191н представлена следующая бюджетная отчетность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537A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12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726"/>
        <w:gridCol w:w="1711"/>
      </w:tblGrid>
      <w:tr w14:paraId="3936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728FB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26" w:type="dxa"/>
            <w:vAlign w:val="center"/>
          </w:tcPr>
          <w:p w14:paraId="5C32D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11" w:type="dxa"/>
            <w:vAlign w:val="center"/>
          </w:tcPr>
          <w:p w14:paraId="18A5C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14:paraId="6F81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4B78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6" w:type="dxa"/>
            <w:vAlign w:val="center"/>
          </w:tcPr>
          <w:p w14:paraId="281A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711" w:type="dxa"/>
            <w:vAlign w:val="center"/>
          </w:tcPr>
          <w:p w14:paraId="23306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</w:tr>
      <w:tr w14:paraId="1A79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2499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6" w:type="dxa"/>
            <w:vAlign w:val="center"/>
          </w:tcPr>
          <w:p w14:paraId="50BF2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711" w:type="dxa"/>
            <w:vAlign w:val="center"/>
          </w:tcPr>
          <w:p w14:paraId="2CB4C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</w:tr>
      <w:tr w14:paraId="5BE6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1542D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6" w:type="dxa"/>
            <w:vAlign w:val="center"/>
          </w:tcPr>
          <w:p w14:paraId="5580C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711" w:type="dxa"/>
            <w:vAlign w:val="center"/>
          </w:tcPr>
          <w:p w14:paraId="2A41E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14:paraId="2A59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6E9B7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6" w:type="dxa"/>
            <w:vAlign w:val="center"/>
          </w:tcPr>
          <w:p w14:paraId="56D65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711" w:type="dxa"/>
            <w:vAlign w:val="center"/>
          </w:tcPr>
          <w:p w14:paraId="0491B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14:paraId="19D2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72618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6" w:type="dxa"/>
            <w:vAlign w:val="center"/>
          </w:tcPr>
          <w:p w14:paraId="2CEDA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обязательствах (ГРБС)</w:t>
            </w:r>
          </w:p>
        </w:tc>
        <w:tc>
          <w:tcPr>
            <w:tcW w:w="1711" w:type="dxa"/>
            <w:vAlign w:val="center"/>
          </w:tcPr>
          <w:p w14:paraId="1191F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14:paraId="3735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40D9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6" w:type="dxa"/>
            <w:vAlign w:val="center"/>
          </w:tcPr>
          <w:p w14:paraId="12767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назначениях (ПБС)</w:t>
            </w:r>
          </w:p>
        </w:tc>
        <w:tc>
          <w:tcPr>
            <w:tcW w:w="1711" w:type="dxa"/>
            <w:vAlign w:val="center"/>
          </w:tcPr>
          <w:p w14:paraId="0C8B2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14:paraId="405F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0916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6" w:type="dxa"/>
            <w:vAlign w:val="center"/>
          </w:tcPr>
          <w:p w14:paraId="5B7C0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 деятельности</w:t>
            </w:r>
          </w:p>
        </w:tc>
        <w:tc>
          <w:tcPr>
            <w:tcW w:w="1711" w:type="dxa"/>
            <w:vAlign w:val="center"/>
          </w:tcPr>
          <w:p w14:paraId="6BF05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</w:tr>
      <w:tr w14:paraId="2846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35805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6" w:type="dxa"/>
            <w:vAlign w:val="center"/>
          </w:tcPr>
          <w:p w14:paraId="06967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711" w:type="dxa"/>
            <w:vAlign w:val="center"/>
          </w:tcPr>
          <w:p w14:paraId="24B7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"consultantplus://offline/ref=866B7735309E47EE23AA00AC4214A1F2B97FFF0A08BEA69DFC7B609C652D3BC02865D8F8467701640A393B50B260736D7AEDB1DFE2730F67W6o3F"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10B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4849C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6" w:type="dxa"/>
            <w:vAlign w:val="center"/>
          </w:tcPr>
          <w:p w14:paraId="14FC5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711" w:type="dxa"/>
            <w:vAlign w:val="center"/>
          </w:tcPr>
          <w:p w14:paraId="2C291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</w:tr>
    </w:tbl>
    <w:p w14:paraId="00E8A58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сводной пояснительной записке (ф.0503160) представлены следующие таблицы и приложения:</w:t>
      </w:r>
    </w:p>
    <w:p w14:paraId="3750E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№4 «Сведения об основных положениях учетной политики»;</w:t>
      </w:r>
    </w:p>
    <w:p w14:paraId="10842A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№11 «Сведения об организационной структуре субъекта бюджетной отчетности»;</w:t>
      </w:r>
    </w:p>
    <w:p w14:paraId="47922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№12 «</w:t>
      </w:r>
      <w:r>
        <w:rPr>
          <w:rFonts w:ascii="Times New Roman" w:hAnsi="Times New Roman"/>
          <w:sz w:val="24"/>
          <w:szCs w:val="24"/>
        </w:rPr>
        <w:t>Сведения о результатах деятельности субъекта бюджетной отчетности»;</w:t>
      </w:r>
    </w:p>
    <w:p w14:paraId="3060A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№13 «Анализ отчета об исполнении бюджета субъектом бюджетной отчетности»;</w:t>
      </w:r>
    </w:p>
    <w:p w14:paraId="53C33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№16 «Прочие вопросы деятельности субъекта бюджетной отчетности»;</w:t>
      </w:r>
    </w:p>
    <w:p w14:paraId="57F3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об исполнении бюджета» (ф.0503164);</w:t>
      </w:r>
    </w:p>
    <w:p w14:paraId="0240C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движении нефинансовых активов» (ф.0503168);</w:t>
      </w:r>
    </w:p>
    <w:p w14:paraId="32F1B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по дебиторской и кредиторской задолженности» (ф.0503169);</w:t>
      </w:r>
    </w:p>
    <w:p w14:paraId="1C5452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Сведения об изменении остатков валюты баланса» (ф.0503173);</w:t>
      </w:r>
    </w:p>
    <w:p w14:paraId="757E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принятых и неисполненных обязательствах получателя бюджетных средств» (ф.0503175).</w:t>
      </w:r>
    </w:p>
    <w:p w14:paraId="393CBEC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Главная книга за 2024 год и материалы по инвентаризации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13FF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п.4 Инструкции №191н бюджетная отчетность представлена на бумажном носителе в сброшюрованном и пронумерованном виде с оглавлением и сопроводительным письмом. Бюджетная отчетность содержит все формы отчетов (за исключением форм бюджетной отчетности, не имеющих числового значения) и подписана главным бухгалтером Федяниной О.А. и руководителем Татариновым В.В.</w:t>
      </w:r>
    </w:p>
    <w:p w14:paraId="5E7432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 (п.9 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нструкции №191н).</w:t>
      </w:r>
    </w:p>
    <w:p w14:paraId="3D617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междокументных контрольных соотношений с отметкой «проверка выполнена успешно».</w:t>
      </w:r>
    </w:p>
    <w:p w14:paraId="5637E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>Согласно п.7 Инструкции №191н 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 В целях подтверждения показателей годовой бюджетной отчетности в соответствии с Решением о проведении инвентаризации от 23.12.2024 г. №0000-000</w:t>
      </w:r>
      <w:r>
        <w:rPr>
          <w:rFonts w:ascii="Times New Roman" w:hAnsi="Times New Roman" w:cs="Times New Roman"/>
          <w:sz w:val="24"/>
          <w:szCs w:val="24"/>
          <w:highlight w:val="none"/>
        </w:rPr>
        <w:t>001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проведена инвентаризация.</w:t>
      </w:r>
    </w:p>
    <w:p w14:paraId="65620A50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инвентаризации расхождений между фактическим наличием активов и состоянием расчетов с данными бюджетного учета не выявлено.</w:t>
      </w:r>
    </w:p>
    <w:p w14:paraId="59FF9A4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12"/>
          <w:szCs w:val="12"/>
          <w:lang w:eastAsia="zh-CN"/>
        </w:rPr>
      </w:pPr>
    </w:p>
    <w:p w14:paraId="4940DFEE">
      <w:pPr>
        <w:numPr>
          <w:ilvl w:val="0"/>
          <w:numId w:val="2"/>
        </w:numPr>
        <w:spacing w:after="6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Проверка правильности составления, ведения бюджетной росписи ГРБС</w:t>
      </w:r>
    </w:p>
    <w:p w14:paraId="412CA4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В соответствии с п.1 ст.217, п.1 ст.219.1 БК РФ утвержден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район»), (далее - Порядок ведения бюджетной росписи).</w:t>
      </w:r>
    </w:p>
    <w:p w14:paraId="2E4B07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В соответствии с установленным Порядком ведения бюджетной росписи, бюджетные ассигнования по расходам на 2024 год утверждены решением Совета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муниципального образования «Ахтубинский муниципальный район Астраханской области» от 12.12.2024 №38 «О внесении изменений в решение Совета муниципального образования «Ахтубинский муниципальный район Астраханской области» от 07.12.2023 №390 «О бюджете муниципального образования «Ахтубинский муниципальный район Астраханской области» на 2024 год и плановый период 2025-2026 годов» и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сводной бюджетной росписью от 28.12.2024г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. </w:t>
      </w:r>
    </w:p>
    <w:p w14:paraId="7E3F36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В соответствии с требованиями Порядка ведения бюджетной росписи, бюджетные ассигнования по расходам утверждены в разрезе главных распорядителей средств бюджета, разделов, подразделов, целевых статей (муниципальных программ и непрограммных направлений деятельности), групп, подгрупп видов расходов классификации расходов бюджета. </w:t>
      </w:r>
    </w:p>
    <w:p w14:paraId="48D5E9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Показатели сводной бюджетной росписи главного распорядителя бюджетных средств представлены в таблице:</w:t>
      </w:r>
    </w:p>
    <w:p w14:paraId="1D64CC10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Таблица №3 (руб.)</w:t>
      </w:r>
    </w:p>
    <w:tbl>
      <w:tblPr>
        <w:tblStyle w:val="12"/>
        <w:tblW w:w="9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809"/>
        <w:gridCol w:w="2160"/>
        <w:gridCol w:w="2602"/>
        <w:gridCol w:w="1516"/>
      </w:tblGrid>
      <w:tr w14:paraId="2271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864" w:type="dxa"/>
            <w:vAlign w:val="center"/>
          </w:tcPr>
          <w:p w14:paraId="6EEB47BE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Раздел/подраздел</w:t>
            </w:r>
          </w:p>
        </w:tc>
        <w:tc>
          <w:tcPr>
            <w:tcW w:w="2809" w:type="dxa"/>
            <w:vAlign w:val="center"/>
          </w:tcPr>
          <w:p w14:paraId="7D5EFCFE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Наименование раздела, подраздела</w:t>
            </w:r>
          </w:p>
        </w:tc>
        <w:tc>
          <w:tcPr>
            <w:tcW w:w="2160" w:type="dxa"/>
            <w:vAlign w:val="center"/>
          </w:tcPr>
          <w:p w14:paraId="05C5ACA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Утверждено Решением Совета от 12.12.2024 №38 на 2024 год</w:t>
            </w:r>
          </w:p>
        </w:tc>
        <w:tc>
          <w:tcPr>
            <w:tcW w:w="2602" w:type="dxa"/>
            <w:vAlign w:val="center"/>
          </w:tcPr>
          <w:p w14:paraId="6F1AE46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Утверждено сводной бюджетной росписью от 28.12.2024г.</w:t>
            </w:r>
          </w:p>
        </w:tc>
        <w:tc>
          <w:tcPr>
            <w:tcW w:w="1516" w:type="dxa"/>
            <w:vAlign w:val="center"/>
          </w:tcPr>
          <w:p w14:paraId="280A0AD4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Изменение</w:t>
            </w:r>
          </w:p>
        </w:tc>
      </w:tr>
      <w:tr w14:paraId="1555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64" w:type="dxa"/>
          </w:tcPr>
          <w:p w14:paraId="5CFFCC20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2809" w:type="dxa"/>
          </w:tcPr>
          <w:p w14:paraId="4C5B3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 w14:paraId="5A35AD1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52612400,54</w:t>
            </w:r>
          </w:p>
        </w:tc>
        <w:tc>
          <w:tcPr>
            <w:tcW w:w="2602" w:type="dxa"/>
            <w:vAlign w:val="center"/>
          </w:tcPr>
          <w:p w14:paraId="73AEE4A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52612400,54</w:t>
            </w:r>
          </w:p>
        </w:tc>
        <w:tc>
          <w:tcPr>
            <w:tcW w:w="1516" w:type="dxa"/>
            <w:vAlign w:val="bottom"/>
          </w:tcPr>
          <w:p w14:paraId="21E05C4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b/>
                <w:bCs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</w:tr>
      <w:tr w14:paraId="7E23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864" w:type="dxa"/>
            <w:vAlign w:val="center"/>
          </w:tcPr>
          <w:p w14:paraId="634DD943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040</w:t>
            </w:r>
            <w:r>
              <w:rPr>
                <w:rFonts w:ascii="Times New Roman" w:hAnsi="Times New Roman" w:eastAsia="SimSun" w:cs="Times New Roman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09" w:type="dxa"/>
            <w:vAlign w:val="center"/>
          </w:tcPr>
          <w:p w14:paraId="2D41BA5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Национальная экономика</w:t>
            </w:r>
          </w:p>
        </w:tc>
        <w:tc>
          <w:tcPr>
            <w:tcW w:w="2160" w:type="dxa"/>
            <w:vAlign w:val="center"/>
          </w:tcPr>
          <w:p w14:paraId="347683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52612 400,54</w:t>
            </w:r>
          </w:p>
        </w:tc>
        <w:tc>
          <w:tcPr>
            <w:tcW w:w="2602" w:type="dxa"/>
            <w:vAlign w:val="center"/>
          </w:tcPr>
          <w:p w14:paraId="2C7D06D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52612 400,54</w:t>
            </w:r>
          </w:p>
        </w:tc>
        <w:tc>
          <w:tcPr>
            <w:tcW w:w="1516" w:type="dxa"/>
            <w:vAlign w:val="center"/>
          </w:tcPr>
          <w:p w14:paraId="45B2947D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</w:tr>
    </w:tbl>
    <w:p w14:paraId="304F43E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представленной бухгалтерской отчётностью Управление сельского хозяйства не является администратором доходов.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Расходы составили 52568769,64 руб. при плане 52612400,54 руб., исполнение составило 99,92%.</w:t>
      </w:r>
    </w:p>
    <w:p w14:paraId="51D721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12"/>
          <w:lang w:eastAsia="zh-CN"/>
          <w14:textFill>
            <w14:solidFill>
              <w14:schemeClr w14:val="tx1"/>
            </w14:solidFill>
          </w14:textFill>
        </w:rPr>
      </w:pPr>
    </w:p>
    <w:p w14:paraId="25172D43">
      <w:pPr>
        <w:spacing w:after="6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Проверка правильности составления, ведения бюджетной отчетности</w:t>
      </w:r>
    </w:p>
    <w:p w14:paraId="30806D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Проверкой полноты бюджетной отчетности в части ее соответствия по составу и установленным формам, достоверности отражения показателей бюджетной отчетности по их соответствию положениям Инструкции №191н определен выборочный способ проверки.</w:t>
      </w:r>
    </w:p>
    <w:p w14:paraId="76647A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требованиями п.7 Инструкции №191н бюджетная отчетность составлена:</w:t>
      </w:r>
    </w:p>
    <w:p w14:paraId="54A62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на основе данных Главной книги и (или) других регистров бюджетного учета;</w:t>
      </w:r>
    </w:p>
    <w:p w14:paraId="39A64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1B0C2412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оказатели форм отчетности соответствуют остаткам и оборотам по счетам, отраженным в главной книге.</w:t>
      </w:r>
    </w:p>
    <w:p w14:paraId="3DA7A7E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4.1. Справка по заключению счетов бюджетного учета отчетного финансового года (ф.0503110)</w:t>
      </w:r>
    </w:p>
    <w:p w14:paraId="02A7EF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 исполнение п.43 Инструкции №191н справка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 w14:paraId="324EEC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1 «Бюджетная деятельность» справки сформирован на основании данных по соответствующим номерам счетов 401.10 «Доходы текущего финансового года», 401.20 «Расходы текущего финансового года» в сумме показателей на 01.01.2025 (графы 2,3) и в сумме заключительных операций по закрытию счетов, произведенных по завершении 2024 года (графы 4-7). Данные показателей ф.0503110 сопоставимы с данными ф. 0503121.</w:t>
      </w:r>
    </w:p>
    <w:p w14:paraId="798C54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6092" w:themeColor="accent1" w:themeShade="BF"/>
          <w:sz w:val="12"/>
          <w:szCs w:val="12"/>
        </w:rPr>
      </w:pPr>
    </w:p>
    <w:p w14:paraId="6EE068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4.2. Отчет о финансовых результатах деятельности (ф.0503121)</w:t>
      </w:r>
    </w:p>
    <w:p w14:paraId="2B8307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Отчет ф.0503121 представлен в составе годовой бюджетной отчетности (п.10, 92 Инструкции №191н). Во исполнение п.92-93 Инструкции №191н отчет содержит данные о финансовых результатах деятельности в разрезе кодов КОСГУ по состоянию на 01.01.2025г., отраженные в рамках бюджетной деятельности (гр.4) и итогового показателя (гр.6).</w:t>
      </w:r>
    </w:p>
    <w:p w14:paraId="2EDFB83A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Таблица №4, руб.</w:t>
      </w:r>
    </w:p>
    <w:tbl>
      <w:tblPr>
        <w:tblStyle w:val="4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6784"/>
        <w:gridCol w:w="2693"/>
      </w:tblGrid>
      <w:tr w14:paraId="18E3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0B2C6228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№п/п</w:t>
            </w:r>
          </w:p>
        </w:tc>
        <w:tc>
          <w:tcPr>
            <w:tcW w:w="6784" w:type="dxa"/>
            <w:shd w:val="clear" w:color="auto" w:fill="auto"/>
            <w:vAlign w:val="center"/>
          </w:tcPr>
          <w:p w14:paraId="2EAD25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Показатель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2AF7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Бюджетная деятельность</w:t>
            </w:r>
          </w:p>
        </w:tc>
      </w:tr>
      <w:tr w14:paraId="39D6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7F3E2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6784" w:type="dxa"/>
            <w:shd w:val="clear" w:color="auto" w:fill="auto"/>
            <w:vAlign w:val="center"/>
          </w:tcPr>
          <w:p w14:paraId="5FBE2608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Доходы (стр. 010)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2BB4E00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</w:tr>
      <w:tr w14:paraId="5B04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51700F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6784" w:type="dxa"/>
            <w:shd w:val="clear" w:color="auto" w:fill="auto"/>
            <w:vAlign w:val="center"/>
          </w:tcPr>
          <w:p w14:paraId="6E773806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Расходы (стр.150)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F1E2A36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52 497 934,32</w:t>
            </w:r>
          </w:p>
        </w:tc>
      </w:tr>
      <w:tr w14:paraId="644A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63C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6784" w:type="dxa"/>
            <w:shd w:val="clear" w:color="auto" w:fill="auto"/>
            <w:vAlign w:val="center"/>
          </w:tcPr>
          <w:p w14:paraId="00F52AC6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Чистый операционный результат 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E1D12F2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-52 497 934,32</w:t>
            </w:r>
          </w:p>
        </w:tc>
      </w:tr>
      <w:tr w14:paraId="00C9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5719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6784" w:type="dxa"/>
            <w:shd w:val="clear" w:color="auto" w:fill="auto"/>
            <w:vAlign w:val="center"/>
          </w:tcPr>
          <w:p w14:paraId="1DE42563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Операции с нефинансовыми активами (стр.310)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8847D5C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-19913,42</w:t>
            </w:r>
          </w:p>
        </w:tc>
      </w:tr>
      <w:tr w14:paraId="1F13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315580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6784" w:type="dxa"/>
            <w:shd w:val="clear" w:color="auto" w:fill="auto"/>
            <w:vAlign w:val="center"/>
          </w:tcPr>
          <w:p w14:paraId="41A5A99A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Операции с финансовыми активами и обязательствами (стр.410)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587B31C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-52 478 020,90</w:t>
            </w:r>
          </w:p>
        </w:tc>
      </w:tr>
    </w:tbl>
    <w:p w14:paraId="3D99815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Данные показателей ф.0503121 сопоставимы с данными формы 0503110.</w:t>
      </w:r>
    </w:p>
    <w:p w14:paraId="08C013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highlight w:val="lightGray"/>
          <w14:textFill>
            <w14:solidFill>
              <w14:schemeClr w14:val="tx1"/>
            </w14:solidFill>
          </w14:textFill>
        </w:rPr>
      </w:pPr>
    </w:p>
    <w:p w14:paraId="07DDFB4F">
      <w:pPr>
        <w:spacing w:after="72" w:afterLines="3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4.3. Отчет о движении денежных средств (ф.0503123)</w:t>
      </w:r>
    </w:p>
    <w:p w14:paraId="48982A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п.146 Инструкции №191н отчет содержит данные о движении денежных средств в кассе, на счете по состоянию на 01.01.2025г. и составлен в разрезе КОСГУ. Информация сгруппирована по видам операций: текущие, инвестиционные, финансовые. Показатели графы 4 Отчета (ф.0503123) сформированы на основании данных по видам поступлений и выбытий, с учетом возвратов текущего финансового периода.</w:t>
      </w:r>
    </w:p>
    <w:p w14:paraId="7F278A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Сумма </w:t>
      </w:r>
      <w:r>
        <w:fldChar w:fldCharType="begin"/>
      </w:r>
      <w:r>
        <w:instrText xml:space="preserve"> HYPERLINK "consultantplus://offline/ref=827AC9A5E62DFDDB7D04897F3119B8BA47CEE20C384A92A7311A1AF96C7C502A7D3D2E439D81FE5269D41AE7A2C3C7E592C86EE01B76D2wAEEL"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строк 5010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</w:t>
      </w:r>
      <w:r>
        <w:fldChar w:fldCharType="begin"/>
      </w:r>
      <w:r>
        <w:instrText xml:space="preserve"> HYPERLINK "consultantplus://offline/ref=827AC9A5E62DFDDB7D04897F3119B8BA47CEE20C384A92A7311A1AF96C7C502A7D3D2E439D81FE5169D41AE7A2C3C7E592C86EE01B76D2wAEEL"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5020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за вычетом </w:t>
      </w:r>
      <w:r>
        <w:fldChar w:fldCharType="begin"/>
      </w:r>
      <w:r>
        <w:instrText xml:space="preserve"> HYPERLINK "consultantplus://offline/ref=827AC9A5E62DFDDB7D04897F3119B8BA47CEE20C384A92A7311A1AF96C7C502A7D3D2E439D8EF85A69D41AE7A2C3C7E592C86EE01B76D2wAEEL"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строки 4400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суммы </w:t>
      </w:r>
      <w:r>
        <w:fldChar w:fldCharType="begin"/>
      </w:r>
      <w:r>
        <w:instrText xml:space="preserve"> HYPERLINK "consultantplus://offline/ref=827AC9A5E62DFDDB7D04897F3119B8BA47CEE20C384A92A7311A1AF96C7C502A7D3D2E439D8EF65469D41AE7A2C3C7E592C86EE01B76D2wAEEL"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строк 4610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</w:t>
      </w:r>
      <w:r>
        <w:fldChar w:fldCharType="begin"/>
      </w:r>
      <w:r>
        <w:instrText xml:space="preserve"> HYPERLINK "consultantplus://offline/ref=827AC9A5E62DFDDB7D04897F3119B8BA47CEE20C384A92A7311A1AF96C7C502A7D3D2E439D8EF65B69D41AE7A2C3C7E592C86EE01B76D2wAEEL"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4620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отчета (ф.0503123) равняется сумме </w:t>
      </w:r>
      <w:r>
        <w:fldChar w:fldCharType="begin"/>
      </w:r>
      <w:r>
        <w:instrText xml:space="preserve"> HYPERLINK "consultantplus://offline/ref=827AC9A5E62DFDDB7D04897F3119B8BA47CEE20C384A92A7311A1AF96C7C502A7D3D2E43998BFD5A608B1FF2B39BCBE58DD66AFA0774D0AFw8EDL"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строк 700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</w:t>
      </w:r>
      <w:r>
        <w:fldChar w:fldCharType="begin"/>
      </w:r>
      <w:r>
        <w:instrText xml:space="preserve"> HYPERLINK "consultantplus://offline/ref=827AC9A5E62DFDDB7D04897F3119B8BA47CEE20C384A92A7311A1AF96C7C502A7D3D2E43998BFD5A6B8B1FF2B39BCBE58DD66AFA0774D0AFw8EDL"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810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граф 5 и 6 Отчета (ф.0503127) без учета остатков в кассе.</w:t>
      </w:r>
    </w:p>
    <w:p w14:paraId="6B850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Статьей 34 БК РФ установлен принцип 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(экономности) и (или) достижения наилучшего результата с использованием определённого бюджетом объёма средств (результативности).</w:t>
      </w:r>
    </w:p>
    <w:p w14:paraId="5FEBFE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требований, установленных ст. 162 БК РФ, получатель бюджетных средств обеспечивает результативность использования предусмотренных ему бюджетных ассигнований.</w:t>
      </w:r>
    </w:p>
    <w:p w14:paraId="0DD47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Управлением сельского хозяйства произведены расходы по уплате штрафа за нарушение законодательства о налогах и сборах в размере 1000,00 руб. </w:t>
      </w:r>
    </w:p>
    <w:p w14:paraId="4D88D7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нарушение ст.34 БК РФ допущено неэффективное использование бюджетных средств, произведены расходы по уплате штрафа за нарушение законодательства о налогах и сборах в размере 1000,00 руб. </w:t>
      </w:r>
    </w:p>
    <w:p w14:paraId="22EE3C1F">
      <w:pPr>
        <w:spacing w:after="72" w:afterLines="3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4.4. Справка по консолидируемым расчетам (ф.0503125)</w:t>
      </w:r>
    </w:p>
    <w:p w14:paraId="32460C67">
      <w:pPr>
        <w:spacing w:after="6" w:line="240" w:lineRule="auto"/>
        <w:ind w:firstLine="480" w:firstLineChars="20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соответствии с п.23 Инструкции №191н справка по консолидируемым расчётам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неденежным расчётам. В соответствии с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абз.1 п.8 Инструкции №191н, ввиду отсутствия числовых значений ф.0503125 в отчет не включена.</w:t>
      </w:r>
    </w:p>
    <w:p w14:paraId="259A67EB">
      <w:pPr>
        <w:spacing w:after="6" w:line="240" w:lineRule="auto"/>
        <w:jc w:val="center"/>
        <w:rPr>
          <w:rFonts w:ascii="Times New Roman" w:hAnsi="Times New Roman"/>
          <w:color w:val="376092" w:themeColor="accent1" w:themeShade="BF"/>
          <w:sz w:val="12"/>
          <w:szCs w:val="12"/>
        </w:rPr>
      </w:pPr>
    </w:p>
    <w:p w14:paraId="67A9A260">
      <w:pPr>
        <w:spacing w:after="6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4.5.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 w14:paraId="365D2816">
      <w:pPr>
        <w:spacing w:before="72" w:beforeLines="3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Отчет раскрывает бюджетную </w:t>
      </w:r>
      <w:r>
        <w:fldChar w:fldCharType="begin"/>
      </w:r>
      <w:r>
        <w:instrText xml:space="preserve"> HYPERLINK "consultantplus://offline/ref=FF3DB571B2F08C93F47E057097A9F3D75329E5619206DA4B28C691DD3EF6BE472DB07AEE7B5DD32ED77D0113CBB4D33D5860C924B24DF3B3Y0E9M"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информацию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обеспечивает сопоставление утвержденных (доведенных) бюджетных назначений с данными об исполнении бюджета. При заполнении документа руководствуются </w:t>
      </w:r>
      <w:r>
        <w:fldChar w:fldCharType="begin"/>
      </w:r>
      <w:r>
        <w:instrText xml:space="preserve"> HYPERLINK "consultantplus://offline/ref=FF3DB571B2F08C93F47E057097A9F3D7532AE66E9508DA4B28C691DD3EF6BE472DB07AEE7B5DD725D77D0113CBB4D33D5860C924B24DF3B3Y0E9M"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п.п.52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- </w:t>
      </w:r>
      <w:r>
        <w:fldChar w:fldCharType="begin"/>
      </w:r>
      <w:r>
        <w:instrText xml:space="preserve"> HYPERLINK "consultantplus://offline/ref=FF3DB571B2F08C93F47E057097A9F3D7532AE66E9508DA4B28C691DD3EF6BE472DB07AEE7B5DD62FD37D0113CBB4D33D5860C924B24DF3B3Y0E9M"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59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fldChar w:fldCharType="begin"/>
      </w:r>
      <w:r>
        <w:instrText xml:space="preserve"> HYPERLINK "consultantplus://offline/ref=FF3DB571B2F08C93F47E057097A9F3D7532AE66E9508DA4B28C691DD3EF6BE472DB07AEE7B5DD628D47D0113CBB4D33D5860C924B24DF3B3Y0E9M"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- </w:t>
      </w:r>
      <w:r>
        <w:fldChar w:fldCharType="begin"/>
      </w:r>
      <w:r>
        <w:instrText xml:space="preserve"> HYPERLINK "consultantplus://offline/ref=FF3DB571B2F08C93F47E057097A9F3D7532AE66E9508DA4B28C691DD3EF6BE472DB07AE87956877D902358418FFFDE3D467CC925YAEDM"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Инструкции №191н.</w:t>
      </w:r>
    </w:p>
    <w:p w14:paraId="77D860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по строке 500 раздела «Источники финансирования дефицита бюджета» в графах 5, 6, 7, 8 равны показателям, отраженным по строке 450 в графах 6, 7, 8, 9 соответственно, с противоположным знаком.</w:t>
      </w:r>
    </w:p>
    <w:p w14:paraId="48BD87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Отчета (ф.0503127) сопоставимы с показателями Отчета (ф.0503123) (отчет показывает движение денежных средств на счетах учреждения).</w:t>
      </w:r>
    </w:p>
    <w:p w14:paraId="627FE8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граф 4, 5 и 9 разд. 2 и 3 Отчета (ф.0503127) сопоставимы с показателями граф 4, 5 и 10 разд. 1 и 2 Отчета (ф.0503128) соответственно.</w:t>
      </w:r>
    </w:p>
    <w:p w14:paraId="5F244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Сумма расходов, отраженная в Отчете (ф.0</w:t>
      </w:r>
      <w:r>
        <w:rPr>
          <w:rFonts w:ascii="Times New Roman" w:hAnsi="Times New Roman" w:cs="Times New Roman"/>
          <w:sz w:val="24"/>
          <w:szCs w:val="24"/>
        </w:rPr>
        <w:t>503127) по разделу «Расходы бюджета - всего» в графе 6 «Исполнено, через финансовые органы» – 52568769,64 руб. соответствует кредитовым оборотам по соответствующим счетам счета 304.05 «Расчеты по платежам из бюджета с финансовым органом» в главной книге за 2024 год.</w:t>
      </w:r>
    </w:p>
    <w:p w14:paraId="7FB980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 Нарушения не выявлены.</w:t>
      </w:r>
    </w:p>
    <w:p w14:paraId="6D6228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6092" w:themeColor="accent1" w:themeShade="BF"/>
          <w:sz w:val="16"/>
          <w:szCs w:val="16"/>
        </w:rPr>
      </w:pPr>
    </w:p>
    <w:p w14:paraId="482E23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4.6. Отчет о бюджетных обязательствах (ф.0503128)</w:t>
      </w:r>
    </w:p>
    <w:p w14:paraId="4E6674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Отчет составлен на основании данных о принятых и исполненных бюджетных обязательствах и представлен по состоянию на 01.01.2025г. Показатели отражены на основании данных об обязательствах, подлежащих исполнению в 2024 году (п.п.68, 69 Инструкции №191н). Отчет заполнен в порядке, приведенном в п.70, 71 - 73 Инструкции №191н.</w:t>
      </w:r>
    </w:p>
    <w:p w14:paraId="634EB65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разделу 1 «Бюджетные обязательства текущего (отчетного) финансового года по расходам»:</w:t>
      </w:r>
    </w:p>
    <w:p w14:paraId="5BDACBD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503.13 «Бюджетные ассигнования получателей бюджетных средств и администраторов выплат по источникам текущего финансового года»;</w:t>
      </w:r>
    </w:p>
    <w:p w14:paraId="22473B2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в графе 5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501.13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501.15 «Полученные лимиты бюджетных обязательств (на текущий финансовый год)». Нарушений не установлено.</w:t>
      </w:r>
    </w:p>
    <w:p w14:paraId="547B42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Показатели граф 4, 5 и 10 разд. 1 и 2 Отчета (ф.0503128) сопоставимы с показателями граф 4, 5 и 9 Отчета (ф.0503127) соответственно (п.73 Инструкции №191н). </w:t>
      </w:r>
    </w:p>
    <w:p w14:paraId="77642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Бюджетные ассигнования по расходам в сумме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52612400,54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руб., утвержденные сводной бюджетной росписью от 28.12.2024г. соответствуют гр. 4, 5 раздела 1 «</w:t>
      </w:r>
      <w:r>
        <w:fldChar w:fldCharType="begin"/>
      </w:r>
      <w:r>
        <w:instrText xml:space="preserve"> HYPERLINK "consultantplus://offline/ref=4D973BE1B9845E6C6757B7A303DB4D29A2999F46B219EB80A89B45DBBAE6BD776605CB2664E1C3F48DD924C9E97291BBF162BF4D5395BDk764J"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Бюджетные обязательства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текущего (отчетного) финансового года по расходам» Отчета (ф.0503128).</w:t>
      </w:r>
    </w:p>
    <w:p w14:paraId="2953AB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п.70.1 Инструкции №191н в целях формирования сводного Отчета (ф.0503128) дополнительно сформирован отчет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Нарушения не выявлены.</w:t>
      </w:r>
    </w:p>
    <w:p w14:paraId="04126C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6092" w:themeColor="accent1" w:themeShade="BF"/>
          <w:sz w:val="12"/>
          <w:szCs w:val="12"/>
        </w:rPr>
      </w:pPr>
    </w:p>
    <w:p w14:paraId="0D37BE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(Баланс (ф.0503130))</w:t>
      </w:r>
    </w:p>
    <w:p w14:paraId="7D75292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Баланс (ф.0503130) содержит данные о нефинансовых и финансовых активах, обязательствах на первый и последний день отчетного периода по счетам бюджетного учета.</w:t>
      </w:r>
    </w:p>
    <w:p w14:paraId="0DE57D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п.13 Инструкции №191н показатели в Балансе (ф.0503130)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отчетного периода (графы 6, 7, 8).</w:t>
      </w:r>
    </w:p>
    <w:p w14:paraId="1BD7B4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 исполнение п.14-15 Инструкции №191н в Балансе (ф.0503130)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01.01.2025г. с учетом проведенных при завершении финансового года заключительных оборотов по счетам бюджетного учета.</w:t>
      </w:r>
    </w:p>
    <w:p w14:paraId="6539D8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строки 700 Баланса (ф.0503130) соответствуют идентичным показателям строки 350.</w:t>
      </w:r>
    </w:p>
    <w:p w14:paraId="5ABDEE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Данные Баланса (ф.0503130)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 w14:paraId="0C3620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составе Баланса (ф.0503130) сформирована справка о наличии имущества и обязательств на забалансовых счетах на начало и конец периода.</w:t>
      </w:r>
    </w:p>
    <w:p w14:paraId="27EA268C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 проверке контрольных соотношений показателей между формами отчетности, а именно баланса ф.0503130 и ф.0503110, ф.0503121, ф.0503168, ф.0503169 расхождения не установлены.</w:t>
      </w:r>
    </w:p>
    <w:p w14:paraId="2EB6645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4.8. Пояснительная записка (ф.0503160)</w:t>
      </w:r>
    </w:p>
    <w:p w14:paraId="7EB19B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п.152 Инструкции №191н Пояснительная записка составлена в разрезе следующих разделов:</w:t>
      </w:r>
    </w:p>
    <w:p w14:paraId="1B79E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1 «Организационная структура субъекта бюджетной отчетности» содержит:</w:t>
      </w:r>
    </w:p>
    <w:p w14:paraId="61E0C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Сведения, характеризующие организационную структуру, информацию об открытых бюджетных счетах, о направлениях деятельности и нормативных документах, на основании которых составлена годовая отчетность. </w:t>
      </w:r>
    </w:p>
    <w:p w14:paraId="33E6F8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"https://login.consultant.ru/link/?req=doc&amp;base=LAW&amp;n=467434&amp;dst=26189" </w:instrText>
      </w:r>
      <w:r>
        <w:fldChar w:fldCharType="separate"/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об организационной структуре субъекта бюджетной отчетности (Таблица №11) предоставлена согласно п. 159.4 Инструкции №191н.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Нарушения при заполнении таблицы не выявлены.</w:t>
      </w:r>
    </w:p>
    <w:p w14:paraId="15E698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2 «Результаты деятельности субъекта бюджетной отчетности»:</w:t>
      </w:r>
    </w:p>
    <w:p w14:paraId="782644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Сведения о результатах деятельности субъекта бюджетной отчетности (Таблица №12)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предоставлены согласно п.159.5 Инструкции №191н.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Нарушения при заполнении таблицы не выявлены.</w:t>
      </w:r>
    </w:p>
    <w:p w14:paraId="6D8AF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3 «Анализ отчета об исполнении бюджета субъектом бюджетной отчетности» содержит:</w:t>
      </w:r>
    </w:p>
    <w:p w14:paraId="4F7A6A6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Сведения об исполнении бюджета (ф.0503164) составлены на основе показателей отчёта об исполнении бюджета (ф.0503127), процент исполнения по расходам - 99,92%. </w:t>
      </w:r>
    </w:p>
    <w:p w14:paraId="61F29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4 «Анализ показателей бухгалтерской отчетности субъекта бюджетной отчетности»:</w:t>
      </w:r>
    </w:p>
    <w:p w14:paraId="0DCB56CA"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п.166 Инструкции №191н Сведения о движении нефинансовых активов (ф.0503168) содержит обобщенную информацию за 2024 год о движении нефинансовых активов.</w:t>
      </w:r>
    </w:p>
    <w:p w14:paraId="5AB60CE1"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Стоимость нефинансовых активов по состоянию на 01.01.2024г. и 01.01.2025г. в разрезе счетов бюджетного учета составила:</w:t>
      </w:r>
    </w:p>
    <w:p w14:paraId="0AE85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101.00 «Основные средства» - 902019,68 руб. и 914757,68 руб., что соответствует данным стр.010 Баланса (ф.0503130);</w:t>
      </w:r>
    </w:p>
    <w:p w14:paraId="51D0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104.00 «Амортизация» - 896135,39 руб. и 910834,82 руб., что соответствует данным стр.021 Баланса (ф.0503130);</w:t>
      </w:r>
    </w:p>
    <w:p w14:paraId="355E6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105.00 «Материальные запасы» - 208347,56 руб. и 190395,57 руб., что соответствует данным стр.080 Баланса (ф.0503130);</w:t>
      </w:r>
    </w:p>
    <w:p w14:paraId="7A71B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111.60 «Права пользования нематериальными активами» - 42500,00 руб. и 42500,00 руб., что соответствует данным стр.100 Баланса (ф.0503130).</w:t>
      </w:r>
    </w:p>
    <w:p w14:paraId="597F6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Отчета (ф.0503168) в графе 4 «Наличие на начало года» и графе 11 «Наличие на конец года» соответствуют данным Баланса (ф.0503130).</w:t>
      </w:r>
    </w:p>
    <w:p w14:paraId="0070D89D"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12"/>
          <w:szCs w:val="12"/>
          <w:highlight w:val="lightGray"/>
          <w14:textFill>
            <w14:solidFill>
              <w14:schemeClr w14:val="tx1"/>
            </w14:solidFill>
          </w14:textFill>
        </w:rPr>
      </w:pPr>
    </w:p>
    <w:p w14:paraId="4848687F"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соответствии с п.167 Инструкции №191н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по дебиторской и кредиторской задолженности (ф.0503169) содержит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расчетов.</w:t>
      </w:r>
    </w:p>
    <w:p w14:paraId="45317F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Дебиторская задолженность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доходам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01.01.2025г. (сч.205.00, 209.00) отсутствует.</w:t>
      </w:r>
    </w:p>
    <w:p w14:paraId="7F87C434">
      <w:pPr>
        <w:pStyle w:val="15"/>
        <w:tabs>
          <w:tab w:val="left" w:pos="284"/>
        </w:tabs>
        <w:autoSpaceDE w:val="0"/>
        <w:autoSpaceDN w:val="0"/>
        <w:adjustRightInd w:val="0"/>
        <w:spacing w:after="72" w:afterLines="3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Дебиторская задолженность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выплатам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01.01.2025г. (сч.206.00, 208.00, 303.00) отсутствует.</w:t>
      </w:r>
    </w:p>
    <w:p w14:paraId="6B902D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Кредиторская задолженность по выплатам на 01.01.2025г. (сч.302.00, 208.00, 304.02, 304.03) составила 2633,15 руб. и соответствуют данным стр.410 Баланса (ф.0503130).</w:t>
      </w:r>
    </w:p>
    <w:p w14:paraId="373C7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Кредиторская задолженность по доходам на 01.01.2025г. (сч.205.00, 209.00) отсутствует.</w:t>
      </w:r>
    </w:p>
    <w:p w14:paraId="12A3B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 просроченной кредиторской задолженности отсутствуют.</w:t>
      </w:r>
    </w:p>
    <w:p w14:paraId="0FB35B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Резерв предстоящих расходов сч.401.60 - 120858,94 руб. соответствует данным стр.520 Баланса (ф.0503130).</w:t>
      </w:r>
    </w:p>
    <w:p w14:paraId="1E9E82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76092" w:themeColor="accent1" w:themeShade="BF"/>
          <w:sz w:val="12"/>
          <w:szCs w:val="12"/>
          <w:highlight w:val="lightGray"/>
        </w:rPr>
      </w:pPr>
    </w:p>
    <w:p w14:paraId="30169730">
      <w:pPr>
        <w:spacing w:after="72" w:afterLines="30" w:line="240" w:lineRule="auto"/>
        <w:ind w:firstLine="480" w:firstLineChars="20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соответствии с п.170 Инструкции №191н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Сведения об изменении остатков валюты баланса (ф.0503173) содержат обобщенные за 2024 год данные об изменении показателей на начало отчетного периода вступительного баланса ГРБС и баланса исполнения бюджета. </w:t>
      </w:r>
    </w:p>
    <w:p w14:paraId="5BA25E43">
      <w:pPr>
        <w:autoSpaceDE w:val="0"/>
        <w:autoSpaceDN w:val="0"/>
        <w:adjustRightInd w:val="0"/>
        <w:spacing w:after="72" w:afterLines="30" w:line="240" w:lineRule="auto"/>
        <w:ind w:firstLine="480" w:firstLineChars="20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п.170.2 Инструкции №191н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Сведения о принятых и неисполненных обязательствах получателя бюджетных средств (ф.0503175)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содержат аналитические данные о неисполненных бюджетных обязательствах 2633,29 руб., неисполненных денежных обязательствах (2633,15 руб.). Показатели, отраженные в ф.0503175, соответствуют данным Отчета (ф.0503128).</w:t>
      </w:r>
    </w:p>
    <w:p w14:paraId="49CE94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5 «Прочие вопросы деятельности субъекта бюджетной отчетности» содержит:</w:t>
      </w:r>
    </w:p>
    <w:p w14:paraId="740B8808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об основных положениях учетной политики (Таблица №4) - в соответствии с п.156 Инструкции №191н характеризуют основные положения учетной политики субъекта бюджетной отчетности,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актами, регулирующими ведение бюджетного учета, права самостоятельного определения таких особенностей. Нарушения при заполнении таблицы не выявлены.</w:t>
      </w:r>
    </w:p>
    <w:p w14:paraId="25D71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Представлена таблица №16 «Прочие вопросы деятельности субъекта бюджетной отчетности» в соответствии 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п.159.9 Инструкции №191н,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отражающая перечень форм отчетности, не включенных в состав бюджетной отчетности за отчетный период ввиду отсутствия числовых значений показателей: ф.0503125, ф.0503166, ф.0503167, ф.0503171, ф.0503172, ф.0503174, ф.0503178, ф.0503190, ф.0503296, таблица №1, №3, №6, №13, №14, №15.</w:t>
      </w:r>
    </w:p>
    <w:p w14:paraId="01720B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376092" w:themeColor="accent1" w:themeShade="BF"/>
          <w:sz w:val="24"/>
          <w:szCs w:val="24"/>
        </w:rPr>
      </w:pPr>
    </w:p>
    <w:p w14:paraId="41B4B4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49BE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0864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1769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Вывод</w:t>
      </w:r>
    </w:p>
    <w:p w14:paraId="4172257B"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Оценка полноты и достоверности бюджетной отчетности во всех существенных отношениях проводилась на выборочной основе. Бюджетная отчетность за 2024 год представлена в срок, достоверна, соответствует структуре и бюджетной классификации. </w:t>
      </w:r>
    </w:p>
    <w:p w14:paraId="6E401157"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2024 год, не выявлено.</w:t>
      </w:r>
    </w:p>
    <w:p w14:paraId="77360BC8"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нарушение ст.34 БК РФ допущено неэффективное использование бюджетных средств, произведены расходы по уплате штрафа за нарушение законодательства о налогах и сборах в размере 1000,00 руб.</w:t>
      </w:r>
    </w:p>
    <w:p w14:paraId="0B08EC01"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376092" w:themeColor="accent1" w:themeShade="BF"/>
          <w:sz w:val="24"/>
          <w:szCs w:val="24"/>
          <w:lang w:eastAsia="zh-CN"/>
        </w:rPr>
      </w:pPr>
    </w:p>
    <w:p w14:paraId="2A9A8B27"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376092" w:themeColor="accent1" w:themeShade="BF"/>
          <w:sz w:val="24"/>
          <w:szCs w:val="24"/>
          <w:lang w:eastAsia="zh-CN"/>
        </w:rPr>
      </w:pPr>
    </w:p>
    <w:p w14:paraId="05A7884B"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376092" w:themeColor="accent1" w:themeShade="BF"/>
          <w:sz w:val="24"/>
          <w:szCs w:val="24"/>
          <w:lang w:eastAsia="zh-CN"/>
        </w:rPr>
      </w:pPr>
    </w:p>
    <w:p w14:paraId="3957EA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Председатель КСП МО «Ахтубинский район»                                                          Ю.Ю. Журавлева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2587F">
    <w:pPr>
      <w:pStyle w:val="9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  <w:t>Заключение Контрольно-счетной палаты МО «Ахтубинский район»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Страница </w:t>
    </w:r>
    <w:r>
      <w:rPr>
        <w:rFonts w:eastAsiaTheme="minorEastAsia"/>
      </w:rPr>
      <w:fldChar w:fldCharType="begin"/>
    </w:r>
    <w:r>
      <w:instrText xml:space="preserve">PAGE   \* MERGEFORMAT</w:instrText>
    </w:r>
    <w:r>
      <w:rPr>
        <w:rFonts w:eastAsiaTheme="minorEastAsia"/>
      </w:rPr>
      <w:fldChar w:fldCharType="separate"/>
    </w:r>
    <w:r>
      <w:rPr>
        <w:rFonts w:asciiTheme="majorHAnsi" w:hAnsiTheme="majorHAnsi" w:eastAsiaTheme="majorEastAsia" w:cstheme="majorBidi"/>
      </w:rPr>
      <w:t>9</w:t>
    </w:r>
    <w:r>
      <w:rPr>
        <w:rFonts w:asciiTheme="majorHAnsi" w:hAnsiTheme="majorHAnsi" w:eastAsiaTheme="majorEastAsia" w:cstheme="majorBidi"/>
      </w:rPr>
      <w:fldChar w:fldCharType="end"/>
    </w:r>
  </w:p>
  <w:p w14:paraId="683FA062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10A6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C6CEA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8C36F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9D0D1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4607C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2FFFB"/>
    <w:multiLevelType w:val="singleLevel"/>
    <w:tmpl w:val="3332FFFB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46BF50F5"/>
    <w:multiLevelType w:val="multilevel"/>
    <w:tmpl w:val="46BF50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C1717"/>
    <w:multiLevelType w:val="multilevel"/>
    <w:tmpl w:val="4D5C1717"/>
    <w:lvl w:ilvl="0" w:tentative="0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075"/>
    <w:rsid w:val="0000723B"/>
    <w:rsid w:val="00010C2A"/>
    <w:rsid w:val="000160D1"/>
    <w:rsid w:val="00016178"/>
    <w:rsid w:val="0001652B"/>
    <w:rsid w:val="00020CB0"/>
    <w:rsid w:val="00020F50"/>
    <w:rsid w:val="0003028E"/>
    <w:rsid w:val="00032C24"/>
    <w:rsid w:val="000415A4"/>
    <w:rsid w:val="00041D74"/>
    <w:rsid w:val="000437B6"/>
    <w:rsid w:val="0004698F"/>
    <w:rsid w:val="000505E7"/>
    <w:rsid w:val="0005072A"/>
    <w:rsid w:val="00062F8D"/>
    <w:rsid w:val="00067638"/>
    <w:rsid w:val="00067F00"/>
    <w:rsid w:val="00072D46"/>
    <w:rsid w:val="00074470"/>
    <w:rsid w:val="00075D18"/>
    <w:rsid w:val="00084580"/>
    <w:rsid w:val="000906F8"/>
    <w:rsid w:val="000934D1"/>
    <w:rsid w:val="00093BDB"/>
    <w:rsid w:val="00095B72"/>
    <w:rsid w:val="00096C26"/>
    <w:rsid w:val="000A0E5D"/>
    <w:rsid w:val="000A4CA4"/>
    <w:rsid w:val="000B240B"/>
    <w:rsid w:val="000B2F33"/>
    <w:rsid w:val="000B365D"/>
    <w:rsid w:val="000B3DBD"/>
    <w:rsid w:val="000D1EC7"/>
    <w:rsid w:val="000D69B2"/>
    <w:rsid w:val="000E1B75"/>
    <w:rsid w:val="000E6906"/>
    <w:rsid w:val="000F28D6"/>
    <w:rsid w:val="000F3D2A"/>
    <w:rsid w:val="000F441F"/>
    <w:rsid w:val="000F5AC2"/>
    <w:rsid w:val="000F79A9"/>
    <w:rsid w:val="00101C9C"/>
    <w:rsid w:val="00106231"/>
    <w:rsid w:val="0011015C"/>
    <w:rsid w:val="00111C38"/>
    <w:rsid w:val="00112D6E"/>
    <w:rsid w:val="0011310B"/>
    <w:rsid w:val="00113189"/>
    <w:rsid w:val="00117425"/>
    <w:rsid w:val="00122603"/>
    <w:rsid w:val="0012564A"/>
    <w:rsid w:val="00141494"/>
    <w:rsid w:val="00146FAE"/>
    <w:rsid w:val="00147A26"/>
    <w:rsid w:val="001566B9"/>
    <w:rsid w:val="001632F6"/>
    <w:rsid w:val="00164C99"/>
    <w:rsid w:val="00172A27"/>
    <w:rsid w:val="00180229"/>
    <w:rsid w:val="00185F28"/>
    <w:rsid w:val="00193516"/>
    <w:rsid w:val="001A327F"/>
    <w:rsid w:val="001A3703"/>
    <w:rsid w:val="001A587F"/>
    <w:rsid w:val="001A67E8"/>
    <w:rsid w:val="001A731D"/>
    <w:rsid w:val="001B0400"/>
    <w:rsid w:val="001B3612"/>
    <w:rsid w:val="001C0B8F"/>
    <w:rsid w:val="001C3C1C"/>
    <w:rsid w:val="001D40B5"/>
    <w:rsid w:val="001D4FB6"/>
    <w:rsid w:val="001D6111"/>
    <w:rsid w:val="001E5546"/>
    <w:rsid w:val="001E6817"/>
    <w:rsid w:val="001E7933"/>
    <w:rsid w:val="001F5DFD"/>
    <w:rsid w:val="0022190F"/>
    <w:rsid w:val="002307F6"/>
    <w:rsid w:val="002313D8"/>
    <w:rsid w:val="0023161E"/>
    <w:rsid w:val="002324C0"/>
    <w:rsid w:val="00236C1D"/>
    <w:rsid w:val="00242681"/>
    <w:rsid w:val="00246CCE"/>
    <w:rsid w:val="00247EE1"/>
    <w:rsid w:val="0025296E"/>
    <w:rsid w:val="002548F8"/>
    <w:rsid w:val="002631A4"/>
    <w:rsid w:val="00264B14"/>
    <w:rsid w:val="002660E8"/>
    <w:rsid w:val="00271123"/>
    <w:rsid w:val="00272373"/>
    <w:rsid w:val="00282921"/>
    <w:rsid w:val="00285210"/>
    <w:rsid w:val="0029324A"/>
    <w:rsid w:val="002B5B17"/>
    <w:rsid w:val="002C03DC"/>
    <w:rsid w:val="002C2F3B"/>
    <w:rsid w:val="002C33C8"/>
    <w:rsid w:val="002C40BD"/>
    <w:rsid w:val="002D323E"/>
    <w:rsid w:val="002E5F24"/>
    <w:rsid w:val="002E797A"/>
    <w:rsid w:val="002F45B3"/>
    <w:rsid w:val="003044BE"/>
    <w:rsid w:val="00304535"/>
    <w:rsid w:val="00306704"/>
    <w:rsid w:val="00312EBB"/>
    <w:rsid w:val="00322B57"/>
    <w:rsid w:val="0032380F"/>
    <w:rsid w:val="00323D6E"/>
    <w:rsid w:val="003246DF"/>
    <w:rsid w:val="0032733B"/>
    <w:rsid w:val="0034677B"/>
    <w:rsid w:val="00353679"/>
    <w:rsid w:val="00353BEC"/>
    <w:rsid w:val="003625FF"/>
    <w:rsid w:val="00370783"/>
    <w:rsid w:val="0037401C"/>
    <w:rsid w:val="00374E07"/>
    <w:rsid w:val="0037649C"/>
    <w:rsid w:val="0037759E"/>
    <w:rsid w:val="00380756"/>
    <w:rsid w:val="00390834"/>
    <w:rsid w:val="0039451C"/>
    <w:rsid w:val="00394966"/>
    <w:rsid w:val="00394B72"/>
    <w:rsid w:val="00396FA6"/>
    <w:rsid w:val="003A0323"/>
    <w:rsid w:val="003B6982"/>
    <w:rsid w:val="003B7E26"/>
    <w:rsid w:val="003C230A"/>
    <w:rsid w:val="003C7E4B"/>
    <w:rsid w:val="003D0AA8"/>
    <w:rsid w:val="003D333C"/>
    <w:rsid w:val="003D411C"/>
    <w:rsid w:val="003E2A84"/>
    <w:rsid w:val="003E4A34"/>
    <w:rsid w:val="003F2810"/>
    <w:rsid w:val="003F665B"/>
    <w:rsid w:val="00400199"/>
    <w:rsid w:val="0040379B"/>
    <w:rsid w:val="00420379"/>
    <w:rsid w:val="00422F15"/>
    <w:rsid w:val="00423373"/>
    <w:rsid w:val="00423683"/>
    <w:rsid w:val="004237BF"/>
    <w:rsid w:val="00424B06"/>
    <w:rsid w:val="00424C42"/>
    <w:rsid w:val="004251EE"/>
    <w:rsid w:val="004269EB"/>
    <w:rsid w:val="00431141"/>
    <w:rsid w:val="0043138B"/>
    <w:rsid w:val="004324DD"/>
    <w:rsid w:val="00436A16"/>
    <w:rsid w:val="00441DE0"/>
    <w:rsid w:val="00442CFF"/>
    <w:rsid w:val="00444D58"/>
    <w:rsid w:val="004455BD"/>
    <w:rsid w:val="00446089"/>
    <w:rsid w:val="004565D6"/>
    <w:rsid w:val="00457BED"/>
    <w:rsid w:val="00462EEB"/>
    <w:rsid w:val="00471974"/>
    <w:rsid w:val="00472D97"/>
    <w:rsid w:val="0048141D"/>
    <w:rsid w:val="004859B1"/>
    <w:rsid w:val="004866F9"/>
    <w:rsid w:val="0049185B"/>
    <w:rsid w:val="0049277A"/>
    <w:rsid w:val="00495FF6"/>
    <w:rsid w:val="004A2E77"/>
    <w:rsid w:val="004A5403"/>
    <w:rsid w:val="004A566B"/>
    <w:rsid w:val="004C20A3"/>
    <w:rsid w:val="004C5694"/>
    <w:rsid w:val="004C659E"/>
    <w:rsid w:val="004C71D8"/>
    <w:rsid w:val="004D15FA"/>
    <w:rsid w:val="004D65AB"/>
    <w:rsid w:val="004D6DC6"/>
    <w:rsid w:val="004D6FA7"/>
    <w:rsid w:val="004D7F62"/>
    <w:rsid w:val="004E1C0D"/>
    <w:rsid w:val="004E2FE3"/>
    <w:rsid w:val="004E3577"/>
    <w:rsid w:val="004E493A"/>
    <w:rsid w:val="004F13F6"/>
    <w:rsid w:val="004F18FE"/>
    <w:rsid w:val="004F39CB"/>
    <w:rsid w:val="004F5C2C"/>
    <w:rsid w:val="00500D73"/>
    <w:rsid w:val="00501BD1"/>
    <w:rsid w:val="00504068"/>
    <w:rsid w:val="005065B5"/>
    <w:rsid w:val="00506B6F"/>
    <w:rsid w:val="00510739"/>
    <w:rsid w:val="00513A60"/>
    <w:rsid w:val="005141D8"/>
    <w:rsid w:val="00516400"/>
    <w:rsid w:val="005300CD"/>
    <w:rsid w:val="00536299"/>
    <w:rsid w:val="00547765"/>
    <w:rsid w:val="00550D3E"/>
    <w:rsid w:val="005548B7"/>
    <w:rsid w:val="0055547C"/>
    <w:rsid w:val="0056133E"/>
    <w:rsid w:val="0056264C"/>
    <w:rsid w:val="00571831"/>
    <w:rsid w:val="00574580"/>
    <w:rsid w:val="005812B1"/>
    <w:rsid w:val="00584F6B"/>
    <w:rsid w:val="00587FEF"/>
    <w:rsid w:val="005B23B6"/>
    <w:rsid w:val="005B3AC4"/>
    <w:rsid w:val="005C1C18"/>
    <w:rsid w:val="005C4F63"/>
    <w:rsid w:val="005C5916"/>
    <w:rsid w:val="005C745A"/>
    <w:rsid w:val="005D1D98"/>
    <w:rsid w:val="005D348E"/>
    <w:rsid w:val="005D3FE7"/>
    <w:rsid w:val="005D74F1"/>
    <w:rsid w:val="005E4A65"/>
    <w:rsid w:val="005F01C9"/>
    <w:rsid w:val="005F518A"/>
    <w:rsid w:val="0060307A"/>
    <w:rsid w:val="006078A8"/>
    <w:rsid w:val="006104F4"/>
    <w:rsid w:val="0061661D"/>
    <w:rsid w:val="00623709"/>
    <w:rsid w:val="00623D08"/>
    <w:rsid w:val="00634259"/>
    <w:rsid w:val="006403A8"/>
    <w:rsid w:val="006412FB"/>
    <w:rsid w:val="00650815"/>
    <w:rsid w:val="0065197E"/>
    <w:rsid w:val="00653A7C"/>
    <w:rsid w:val="00654B5A"/>
    <w:rsid w:val="00660ABF"/>
    <w:rsid w:val="00660C28"/>
    <w:rsid w:val="0066182C"/>
    <w:rsid w:val="00662952"/>
    <w:rsid w:val="00664B8A"/>
    <w:rsid w:val="00665D99"/>
    <w:rsid w:val="00666A28"/>
    <w:rsid w:val="006676BD"/>
    <w:rsid w:val="006679B1"/>
    <w:rsid w:val="00676512"/>
    <w:rsid w:val="00686BF3"/>
    <w:rsid w:val="00692433"/>
    <w:rsid w:val="00692DC6"/>
    <w:rsid w:val="00693BE8"/>
    <w:rsid w:val="00693EC4"/>
    <w:rsid w:val="00694123"/>
    <w:rsid w:val="00694993"/>
    <w:rsid w:val="006949BA"/>
    <w:rsid w:val="00695411"/>
    <w:rsid w:val="006A0A8A"/>
    <w:rsid w:val="006A2E9A"/>
    <w:rsid w:val="006A3B09"/>
    <w:rsid w:val="006A635E"/>
    <w:rsid w:val="006B1E44"/>
    <w:rsid w:val="006B614F"/>
    <w:rsid w:val="006B63D0"/>
    <w:rsid w:val="006C4D84"/>
    <w:rsid w:val="006C5EF5"/>
    <w:rsid w:val="006C6435"/>
    <w:rsid w:val="006D19A0"/>
    <w:rsid w:val="006D19ED"/>
    <w:rsid w:val="006D3DF6"/>
    <w:rsid w:val="006D48BD"/>
    <w:rsid w:val="006D730B"/>
    <w:rsid w:val="006D7B8A"/>
    <w:rsid w:val="006E6781"/>
    <w:rsid w:val="006E6E5B"/>
    <w:rsid w:val="006F1907"/>
    <w:rsid w:val="006F4593"/>
    <w:rsid w:val="006F4CE1"/>
    <w:rsid w:val="00706852"/>
    <w:rsid w:val="0071485D"/>
    <w:rsid w:val="0071529E"/>
    <w:rsid w:val="00717302"/>
    <w:rsid w:val="00721AA5"/>
    <w:rsid w:val="00724E79"/>
    <w:rsid w:val="00733014"/>
    <w:rsid w:val="00734DC3"/>
    <w:rsid w:val="00736E4F"/>
    <w:rsid w:val="007400A0"/>
    <w:rsid w:val="00742F1F"/>
    <w:rsid w:val="00744898"/>
    <w:rsid w:val="00744C60"/>
    <w:rsid w:val="007466C4"/>
    <w:rsid w:val="0074673E"/>
    <w:rsid w:val="007606D4"/>
    <w:rsid w:val="007645D2"/>
    <w:rsid w:val="0076499C"/>
    <w:rsid w:val="007727C2"/>
    <w:rsid w:val="007812B3"/>
    <w:rsid w:val="007815DB"/>
    <w:rsid w:val="00781897"/>
    <w:rsid w:val="00782CED"/>
    <w:rsid w:val="0078586F"/>
    <w:rsid w:val="0078605B"/>
    <w:rsid w:val="007867D0"/>
    <w:rsid w:val="00791B90"/>
    <w:rsid w:val="007941EA"/>
    <w:rsid w:val="00795F75"/>
    <w:rsid w:val="0079692A"/>
    <w:rsid w:val="007A0EE6"/>
    <w:rsid w:val="007A36A7"/>
    <w:rsid w:val="007A4526"/>
    <w:rsid w:val="007B2070"/>
    <w:rsid w:val="007B6124"/>
    <w:rsid w:val="007B6FBA"/>
    <w:rsid w:val="007D2C06"/>
    <w:rsid w:val="007D488D"/>
    <w:rsid w:val="007D5BBD"/>
    <w:rsid w:val="007E715A"/>
    <w:rsid w:val="007F5CD0"/>
    <w:rsid w:val="007F61F9"/>
    <w:rsid w:val="00803CD5"/>
    <w:rsid w:val="00811748"/>
    <w:rsid w:val="008121C5"/>
    <w:rsid w:val="0082095D"/>
    <w:rsid w:val="00824C25"/>
    <w:rsid w:val="0082602A"/>
    <w:rsid w:val="00826511"/>
    <w:rsid w:val="00835393"/>
    <w:rsid w:val="00837201"/>
    <w:rsid w:val="00840099"/>
    <w:rsid w:val="0084288B"/>
    <w:rsid w:val="00845E25"/>
    <w:rsid w:val="00854A7A"/>
    <w:rsid w:val="00854F6D"/>
    <w:rsid w:val="00861D8F"/>
    <w:rsid w:val="00862546"/>
    <w:rsid w:val="00862F66"/>
    <w:rsid w:val="008724E1"/>
    <w:rsid w:val="00872DA7"/>
    <w:rsid w:val="00882F05"/>
    <w:rsid w:val="00883235"/>
    <w:rsid w:val="008841BD"/>
    <w:rsid w:val="008848DF"/>
    <w:rsid w:val="00884A07"/>
    <w:rsid w:val="00890B1C"/>
    <w:rsid w:val="00890C72"/>
    <w:rsid w:val="00895D49"/>
    <w:rsid w:val="00897511"/>
    <w:rsid w:val="008A25C5"/>
    <w:rsid w:val="008A36B8"/>
    <w:rsid w:val="008A5F33"/>
    <w:rsid w:val="008A6779"/>
    <w:rsid w:val="008C4D98"/>
    <w:rsid w:val="008C5496"/>
    <w:rsid w:val="008C5856"/>
    <w:rsid w:val="008C77F2"/>
    <w:rsid w:val="008C78FA"/>
    <w:rsid w:val="008D00CC"/>
    <w:rsid w:val="008D0F61"/>
    <w:rsid w:val="008D1A53"/>
    <w:rsid w:val="008F1A85"/>
    <w:rsid w:val="008F4209"/>
    <w:rsid w:val="008F5535"/>
    <w:rsid w:val="008F62B8"/>
    <w:rsid w:val="00906692"/>
    <w:rsid w:val="00912C97"/>
    <w:rsid w:val="00924889"/>
    <w:rsid w:val="0093097E"/>
    <w:rsid w:val="00931B7B"/>
    <w:rsid w:val="0093226A"/>
    <w:rsid w:val="009322A7"/>
    <w:rsid w:val="00933A63"/>
    <w:rsid w:val="009349F5"/>
    <w:rsid w:val="00935A80"/>
    <w:rsid w:val="00942AE8"/>
    <w:rsid w:val="00944446"/>
    <w:rsid w:val="00945BD5"/>
    <w:rsid w:val="00947006"/>
    <w:rsid w:val="009509D9"/>
    <w:rsid w:val="00954627"/>
    <w:rsid w:val="009562E7"/>
    <w:rsid w:val="00957B48"/>
    <w:rsid w:val="00964B77"/>
    <w:rsid w:val="00967BC6"/>
    <w:rsid w:val="00974748"/>
    <w:rsid w:val="00977F9E"/>
    <w:rsid w:val="009813F9"/>
    <w:rsid w:val="00981DA8"/>
    <w:rsid w:val="009845D1"/>
    <w:rsid w:val="00984643"/>
    <w:rsid w:val="009873AB"/>
    <w:rsid w:val="009900D0"/>
    <w:rsid w:val="00993194"/>
    <w:rsid w:val="00997AF0"/>
    <w:rsid w:val="009A2834"/>
    <w:rsid w:val="009A4FDB"/>
    <w:rsid w:val="009A5804"/>
    <w:rsid w:val="009A6578"/>
    <w:rsid w:val="009B04A3"/>
    <w:rsid w:val="009B6A4F"/>
    <w:rsid w:val="009C6725"/>
    <w:rsid w:val="009D11F6"/>
    <w:rsid w:val="009D6EE8"/>
    <w:rsid w:val="009D71EF"/>
    <w:rsid w:val="009E0213"/>
    <w:rsid w:val="009E0A1D"/>
    <w:rsid w:val="009E6889"/>
    <w:rsid w:val="009F175A"/>
    <w:rsid w:val="009F6CD5"/>
    <w:rsid w:val="00A05F04"/>
    <w:rsid w:val="00A115E4"/>
    <w:rsid w:val="00A12015"/>
    <w:rsid w:val="00A1238D"/>
    <w:rsid w:val="00A1471A"/>
    <w:rsid w:val="00A17830"/>
    <w:rsid w:val="00A21F15"/>
    <w:rsid w:val="00A220C2"/>
    <w:rsid w:val="00A27CEA"/>
    <w:rsid w:val="00A32A82"/>
    <w:rsid w:val="00A32B83"/>
    <w:rsid w:val="00A36EC2"/>
    <w:rsid w:val="00A36FFC"/>
    <w:rsid w:val="00A5664E"/>
    <w:rsid w:val="00A63038"/>
    <w:rsid w:val="00A65B4C"/>
    <w:rsid w:val="00A65F52"/>
    <w:rsid w:val="00A72445"/>
    <w:rsid w:val="00A73FC1"/>
    <w:rsid w:val="00AC4A6B"/>
    <w:rsid w:val="00AD056F"/>
    <w:rsid w:val="00AD50BD"/>
    <w:rsid w:val="00AD5DEB"/>
    <w:rsid w:val="00AD699D"/>
    <w:rsid w:val="00AE515A"/>
    <w:rsid w:val="00AE79E9"/>
    <w:rsid w:val="00AF0158"/>
    <w:rsid w:val="00AF022E"/>
    <w:rsid w:val="00AF2579"/>
    <w:rsid w:val="00AF54AD"/>
    <w:rsid w:val="00B13270"/>
    <w:rsid w:val="00B17D66"/>
    <w:rsid w:val="00B239DE"/>
    <w:rsid w:val="00B23AA4"/>
    <w:rsid w:val="00B268FE"/>
    <w:rsid w:val="00B271E9"/>
    <w:rsid w:val="00B305A7"/>
    <w:rsid w:val="00B36F62"/>
    <w:rsid w:val="00B37A78"/>
    <w:rsid w:val="00B50E9E"/>
    <w:rsid w:val="00B53877"/>
    <w:rsid w:val="00B53B0D"/>
    <w:rsid w:val="00B543C1"/>
    <w:rsid w:val="00B545F5"/>
    <w:rsid w:val="00B56FE8"/>
    <w:rsid w:val="00B60476"/>
    <w:rsid w:val="00B6064D"/>
    <w:rsid w:val="00B6634E"/>
    <w:rsid w:val="00B718F9"/>
    <w:rsid w:val="00B7249D"/>
    <w:rsid w:val="00B74672"/>
    <w:rsid w:val="00B84673"/>
    <w:rsid w:val="00B87C55"/>
    <w:rsid w:val="00B925E0"/>
    <w:rsid w:val="00B93562"/>
    <w:rsid w:val="00B95E74"/>
    <w:rsid w:val="00BA0366"/>
    <w:rsid w:val="00BA0405"/>
    <w:rsid w:val="00BA3BCD"/>
    <w:rsid w:val="00BA6838"/>
    <w:rsid w:val="00BB5354"/>
    <w:rsid w:val="00BC0C29"/>
    <w:rsid w:val="00BD0783"/>
    <w:rsid w:val="00BD434E"/>
    <w:rsid w:val="00BD4D30"/>
    <w:rsid w:val="00BD5C57"/>
    <w:rsid w:val="00BD7473"/>
    <w:rsid w:val="00BD78A5"/>
    <w:rsid w:val="00BE20F1"/>
    <w:rsid w:val="00BE3597"/>
    <w:rsid w:val="00BE714C"/>
    <w:rsid w:val="00BF1B78"/>
    <w:rsid w:val="00BF6A9A"/>
    <w:rsid w:val="00C04BF2"/>
    <w:rsid w:val="00C06DE4"/>
    <w:rsid w:val="00C07245"/>
    <w:rsid w:val="00C10BA3"/>
    <w:rsid w:val="00C1213D"/>
    <w:rsid w:val="00C176F1"/>
    <w:rsid w:val="00C21B96"/>
    <w:rsid w:val="00C21E65"/>
    <w:rsid w:val="00C2459B"/>
    <w:rsid w:val="00C24CF5"/>
    <w:rsid w:val="00C265ED"/>
    <w:rsid w:val="00C30A2B"/>
    <w:rsid w:val="00C34E08"/>
    <w:rsid w:val="00C5019E"/>
    <w:rsid w:val="00C54E21"/>
    <w:rsid w:val="00C55AB2"/>
    <w:rsid w:val="00C610B4"/>
    <w:rsid w:val="00C61B28"/>
    <w:rsid w:val="00C64700"/>
    <w:rsid w:val="00C66797"/>
    <w:rsid w:val="00C66BD6"/>
    <w:rsid w:val="00C71300"/>
    <w:rsid w:val="00C77049"/>
    <w:rsid w:val="00C847F6"/>
    <w:rsid w:val="00C86EFA"/>
    <w:rsid w:val="00CB0F39"/>
    <w:rsid w:val="00CB60A9"/>
    <w:rsid w:val="00CC0432"/>
    <w:rsid w:val="00CC66CA"/>
    <w:rsid w:val="00CD2596"/>
    <w:rsid w:val="00CD2787"/>
    <w:rsid w:val="00CD409B"/>
    <w:rsid w:val="00CD5083"/>
    <w:rsid w:val="00CE088A"/>
    <w:rsid w:val="00CE1BB6"/>
    <w:rsid w:val="00CE2BCC"/>
    <w:rsid w:val="00CE67ED"/>
    <w:rsid w:val="00CE7C4D"/>
    <w:rsid w:val="00CF073F"/>
    <w:rsid w:val="00D0345C"/>
    <w:rsid w:val="00D0409D"/>
    <w:rsid w:val="00D058D1"/>
    <w:rsid w:val="00D05D1A"/>
    <w:rsid w:val="00D07955"/>
    <w:rsid w:val="00D11791"/>
    <w:rsid w:val="00D136C0"/>
    <w:rsid w:val="00D154A7"/>
    <w:rsid w:val="00D216AE"/>
    <w:rsid w:val="00D25673"/>
    <w:rsid w:val="00D266D8"/>
    <w:rsid w:val="00D27F37"/>
    <w:rsid w:val="00D3223E"/>
    <w:rsid w:val="00D331E3"/>
    <w:rsid w:val="00D33DF2"/>
    <w:rsid w:val="00D4076D"/>
    <w:rsid w:val="00D4212D"/>
    <w:rsid w:val="00D459BE"/>
    <w:rsid w:val="00D46B5A"/>
    <w:rsid w:val="00D5040C"/>
    <w:rsid w:val="00D525A8"/>
    <w:rsid w:val="00D60EFE"/>
    <w:rsid w:val="00D615D2"/>
    <w:rsid w:val="00D657C1"/>
    <w:rsid w:val="00D70D1B"/>
    <w:rsid w:val="00D748C8"/>
    <w:rsid w:val="00D8705C"/>
    <w:rsid w:val="00D954E3"/>
    <w:rsid w:val="00DB2144"/>
    <w:rsid w:val="00DB3B5E"/>
    <w:rsid w:val="00DB51AD"/>
    <w:rsid w:val="00DB7AE8"/>
    <w:rsid w:val="00DB7E0D"/>
    <w:rsid w:val="00DC2046"/>
    <w:rsid w:val="00DC45FB"/>
    <w:rsid w:val="00DC63EF"/>
    <w:rsid w:val="00DC69B2"/>
    <w:rsid w:val="00DC7085"/>
    <w:rsid w:val="00DC7A82"/>
    <w:rsid w:val="00DD0300"/>
    <w:rsid w:val="00DD1F96"/>
    <w:rsid w:val="00DD58CB"/>
    <w:rsid w:val="00DE2150"/>
    <w:rsid w:val="00DF2214"/>
    <w:rsid w:val="00DF5FEE"/>
    <w:rsid w:val="00E01681"/>
    <w:rsid w:val="00E01EA0"/>
    <w:rsid w:val="00E06505"/>
    <w:rsid w:val="00E13DD6"/>
    <w:rsid w:val="00E27766"/>
    <w:rsid w:val="00E343B0"/>
    <w:rsid w:val="00E34E05"/>
    <w:rsid w:val="00E3590F"/>
    <w:rsid w:val="00E6536F"/>
    <w:rsid w:val="00E67755"/>
    <w:rsid w:val="00E7589C"/>
    <w:rsid w:val="00E76926"/>
    <w:rsid w:val="00E7792B"/>
    <w:rsid w:val="00E83BED"/>
    <w:rsid w:val="00E97E94"/>
    <w:rsid w:val="00EA2E1D"/>
    <w:rsid w:val="00EA5542"/>
    <w:rsid w:val="00EA7F98"/>
    <w:rsid w:val="00EB0406"/>
    <w:rsid w:val="00EC4E5F"/>
    <w:rsid w:val="00EC6167"/>
    <w:rsid w:val="00EE05C0"/>
    <w:rsid w:val="00EF3DE1"/>
    <w:rsid w:val="00EF4287"/>
    <w:rsid w:val="00EF5597"/>
    <w:rsid w:val="00F0197F"/>
    <w:rsid w:val="00F026F2"/>
    <w:rsid w:val="00F03799"/>
    <w:rsid w:val="00F04B4C"/>
    <w:rsid w:val="00F058AC"/>
    <w:rsid w:val="00F101E5"/>
    <w:rsid w:val="00F1036B"/>
    <w:rsid w:val="00F10608"/>
    <w:rsid w:val="00F20B10"/>
    <w:rsid w:val="00F230F5"/>
    <w:rsid w:val="00F244CC"/>
    <w:rsid w:val="00F2525B"/>
    <w:rsid w:val="00F2750F"/>
    <w:rsid w:val="00F31E09"/>
    <w:rsid w:val="00F3500F"/>
    <w:rsid w:val="00F432CB"/>
    <w:rsid w:val="00F62AE8"/>
    <w:rsid w:val="00F637FA"/>
    <w:rsid w:val="00F64442"/>
    <w:rsid w:val="00F744D7"/>
    <w:rsid w:val="00F74DF4"/>
    <w:rsid w:val="00F80E62"/>
    <w:rsid w:val="00F823AD"/>
    <w:rsid w:val="00F84CBB"/>
    <w:rsid w:val="00F900C9"/>
    <w:rsid w:val="00F91D5B"/>
    <w:rsid w:val="00F96B57"/>
    <w:rsid w:val="00FA009F"/>
    <w:rsid w:val="00FA17EA"/>
    <w:rsid w:val="00FA4291"/>
    <w:rsid w:val="00FA51FA"/>
    <w:rsid w:val="00FA6CF4"/>
    <w:rsid w:val="00FA6EAC"/>
    <w:rsid w:val="00FB04CA"/>
    <w:rsid w:val="00FB46C9"/>
    <w:rsid w:val="00FC14E5"/>
    <w:rsid w:val="00FC1B3B"/>
    <w:rsid w:val="00FC4157"/>
    <w:rsid w:val="00FC5219"/>
    <w:rsid w:val="00FC600C"/>
    <w:rsid w:val="00FE14E4"/>
    <w:rsid w:val="00FE3045"/>
    <w:rsid w:val="00FE5AEB"/>
    <w:rsid w:val="00FE5E50"/>
    <w:rsid w:val="00FF109A"/>
    <w:rsid w:val="02986FEA"/>
    <w:rsid w:val="046D7786"/>
    <w:rsid w:val="06D2621B"/>
    <w:rsid w:val="0768745C"/>
    <w:rsid w:val="077628D4"/>
    <w:rsid w:val="08545039"/>
    <w:rsid w:val="116D7A5E"/>
    <w:rsid w:val="13D80A34"/>
    <w:rsid w:val="196745DD"/>
    <w:rsid w:val="1F21173F"/>
    <w:rsid w:val="1F694931"/>
    <w:rsid w:val="21487CBD"/>
    <w:rsid w:val="243231D7"/>
    <w:rsid w:val="274556D9"/>
    <w:rsid w:val="2AC1284C"/>
    <w:rsid w:val="2D525E4C"/>
    <w:rsid w:val="2DE74177"/>
    <w:rsid w:val="2E1C0B76"/>
    <w:rsid w:val="2F3A234E"/>
    <w:rsid w:val="31EE1E5D"/>
    <w:rsid w:val="323C25F5"/>
    <w:rsid w:val="33822A0F"/>
    <w:rsid w:val="36086F35"/>
    <w:rsid w:val="39781F03"/>
    <w:rsid w:val="3FBB0422"/>
    <w:rsid w:val="40AC7BA9"/>
    <w:rsid w:val="4CF415EE"/>
    <w:rsid w:val="4F280080"/>
    <w:rsid w:val="5346431E"/>
    <w:rsid w:val="57E0232A"/>
    <w:rsid w:val="59FE16E6"/>
    <w:rsid w:val="62543A4F"/>
    <w:rsid w:val="64EF448D"/>
    <w:rsid w:val="66216C1E"/>
    <w:rsid w:val="675C61B9"/>
    <w:rsid w:val="6834516C"/>
    <w:rsid w:val="75027F07"/>
    <w:rsid w:val="763F3213"/>
    <w:rsid w:val="77F759A6"/>
    <w:rsid w:val="79C02EB0"/>
    <w:rsid w:val="7A490544"/>
    <w:rsid w:val="7D5C7CD7"/>
    <w:rsid w:val="7FA8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20"/>
    <w:autoRedefine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4"/>
    <w:autoRedefine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Body Text Indent 2"/>
    <w:basedOn w:val="1"/>
    <w:link w:val="17"/>
    <w:unhideWhenUsed/>
    <w:qFormat/>
    <w:uiPriority w:val="99"/>
    <w:pPr>
      <w:spacing w:after="120" w:line="480" w:lineRule="auto"/>
      <w:ind w:left="283"/>
    </w:p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Основной текст Знак"/>
    <w:basedOn w:val="3"/>
    <w:link w:val="8"/>
    <w:autoRedefine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5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6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customStyle="1" w:styleId="17">
    <w:name w:val="Основной текст с отступом 2 Знак"/>
    <w:basedOn w:val="3"/>
    <w:link w:val="11"/>
    <w:qFormat/>
    <w:uiPriority w:val="99"/>
  </w:style>
  <w:style w:type="paragraph" w:customStyle="1" w:styleId="18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cs="Courier New" w:eastAsiaTheme="minorHAnsi"/>
      <w:lang w:val="ru-RU" w:eastAsia="en-US" w:bidi="ar-SA"/>
    </w:rPr>
  </w:style>
  <w:style w:type="paragraph" w:customStyle="1" w:styleId="19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customStyle="1" w:styleId="20">
    <w:name w:val="Верхний колонтитул Знак"/>
    <w:basedOn w:val="3"/>
    <w:link w:val="7"/>
    <w:qFormat/>
    <w:uiPriority w:val="99"/>
  </w:style>
  <w:style w:type="character" w:customStyle="1" w:styleId="21">
    <w:name w:val="Нижний колонтитул Знак"/>
    <w:basedOn w:val="3"/>
    <w:link w:val="9"/>
    <w:autoRedefine/>
    <w:qFormat/>
    <w:uiPriority w:val="99"/>
  </w:style>
  <w:style w:type="character" w:customStyle="1" w:styleId="22">
    <w:name w:val="font31"/>
    <w:qFormat/>
    <w:uiPriority w:val="0"/>
    <w:rPr>
      <w:rFonts w:hint="default" w:ascii="Times New Roman" w:hAnsi="Times New Roman" w:cs="Times New Roman"/>
      <w:b/>
      <w:bCs/>
      <w:color w:val="000000"/>
      <w:u w:val="none"/>
    </w:rPr>
  </w:style>
  <w:style w:type="character" w:customStyle="1" w:styleId="23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2B67-3910-440F-BBA0-37609B5D00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4381</Words>
  <Characters>24974</Characters>
  <Lines>208</Lines>
  <Paragraphs>58</Paragraphs>
  <TotalTime>41</TotalTime>
  <ScaleCrop>false</ScaleCrop>
  <LinksUpToDate>false</LinksUpToDate>
  <CharactersWithSpaces>29297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2015-02-06T06:05:00Z</dcterms:created>
  <dc:creator>KSP1</dc:creator>
  <cp:lastModifiedBy>y_zhuravleva</cp:lastModifiedBy>
  <cp:lastPrinted>2025-04-21T06:12:16Z</cp:lastPrinted>
  <dcterms:modified xsi:type="dcterms:W3CDTF">2025-04-21T06:17:49Z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C6FAD14541F14887A8195FC9DD9CFCC2</vt:lpwstr>
  </property>
</Properties>
</file>