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КОНТРОЛЬНО - СЧЕТНАЯ ПАЛАТА МУНИЦИПАЛЬНОГО ОБРАЗОВАНИЯ 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«АХТУБИНСКИЙ МУНИЦИПАЛЬНЫЙ РАЙОН АСТРАХАНСКОЙ ОБЛАСТИ»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Волгоградская ул., д.141, г. Ахтубинск, Астраханская обл.,416500, Тел. (8-85141) 4-04-24 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ОКПО 78317643, ОГРН 1063022000282, ИНН/КПП 3001040259/300101001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pBdr>
          <w:top w:val="thinThickSmallGap" w:color="auto" w:sz="24" w:space="1"/>
        </w:pBd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ind w:right="-144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 результатам внешней проверки годовой бюджетной отчётности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главного администратора бюджетных средств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муниципального образования «Ахтубинский муниципальный район Астраханской области» - Управление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 имущественных и земельных отношений администрации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 муниципального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образования «Ахтубинский район» за 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год</w:t>
      </w:r>
    </w:p>
    <w:p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19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.04.202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г.                                                                                                                 №З-1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/202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4</w:t>
      </w:r>
    </w:p>
    <w:p>
      <w:pPr>
        <w:spacing w:after="0" w:line="240" w:lineRule="auto"/>
        <w:ind w:firstLine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Основание для проведения проверки: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Статья 264.4 Бюджетного кодекса Российской Федерации и План работы Контрольно-счетной палаты муниципального образования «Ахтубинский муниципальный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район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Астраханской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»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(далее - КСП МО «Ахтубинский район»)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год.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Ответственные должностные лица, подписавшие отчётность: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Начальник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управления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Леонтьева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И.О.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Главный бухгалтер  – Ясинская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Н.В.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Предметом внешней проверки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является годовая бюджетная отчётность главных администраторов бюджетных средств – ГАБС (главные администраторы доходов бюджета, главные распорядители бюджетных средств, главные администраторы источников финансирования дефицита бюджета).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Целью проведения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внешней проверки являются:</w:t>
      </w:r>
    </w:p>
    <w:p>
      <w:pPr>
        <w:pStyle w:val="1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установление полноты бюджетной отчётности главных администраторов средств районного бюджета;</w:t>
      </w:r>
    </w:p>
    <w:p>
      <w:pPr>
        <w:pStyle w:val="1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оценка достоверности показателей бюджетной отчётности главных администраторов средств районного бюджета;</w:t>
      </w:r>
    </w:p>
    <w:p>
      <w:pPr>
        <w:pStyle w:val="1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проверка на соответствие порядку ведения бюджетного учёта, законодательству Российской Федерации, Астраханской области, муниципальным правовым актам Ахтубинского района;</w:t>
      </w:r>
    </w:p>
    <w:p>
      <w:pPr>
        <w:pStyle w:val="1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анализ эффективности и результативности использования бюджетных средств.</w:t>
      </w:r>
    </w:p>
    <w:p>
      <w:pPr>
        <w:pStyle w:val="15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>
      <w:pPr>
        <w:pStyle w:val="15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Заключение подготовлено на основании камеральной проверки годовой бюджетной отчётности главного администратора бюджетных средств МО «Ахтубинский муниципальный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район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Астраханской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» за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3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год, проведённой в соответствии с:</w:t>
      </w:r>
    </w:p>
    <w:p>
      <w:pPr>
        <w:pStyle w:val="15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Бюджетным кодексом Российской Федерации (далее – БК РФ);</w:t>
      </w:r>
    </w:p>
    <w:p>
      <w:pPr>
        <w:pStyle w:val="15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Порядком осуществления внешней проверки годового отчёта об исполнении бюджета муниципального образования «Ахтубинский район», утверждённым решением Совета МО «Ахтубинский район» от 16.03.2017г №295 (далее – 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16.03.2017г №295); </w:t>
      </w:r>
    </w:p>
    <w:p>
      <w:pPr>
        <w:pStyle w:val="15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Приказом Минфина России от 28.12.2010 №191н "Об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Федерации" (далее - Инструкция №191н);</w:t>
      </w:r>
    </w:p>
    <w:p>
      <w:pPr>
        <w:pStyle w:val="15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Приказом Минфина России от 01.12.2010 №157н "Об утверждении Единого плана счетов бухгалтерского учёта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 (далее - Инструкция №157н);</w:t>
      </w:r>
    </w:p>
    <w:p>
      <w:pPr>
        <w:pStyle w:val="15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Приказом Минфина России от 06.12.2010 №162н "Об утверждении Плана счетов бюджетного учёта и Инструкции по его применению" (далее – Инструкция №162н).</w:t>
      </w:r>
    </w:p>
    <w:p>
      <w:pPr>
        <w:pStyle w:val="15"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Приказом Минфина России от 31.12.2016 №257н "Об утверждении федерального стандарта бухгалтерского учета для организаций государственного сектора "Основные средства" (далее - Приказ от 31.12.2016 №257н).</w:t>
      </w:r>
    </w:p>
    <w:p>
      <w:pPr>
        <w:pStyle w:val="15"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- </w:t>
      </w: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Приказ Минфина России от 15.04.2021 N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 )далее - Приказ от 15.04.2021 №61н).</w:t>
      </w:r>
      <w:r>
        <w:rPr>
          <w:rFonts w:hint="default" w:ascii="Times New Roman" w:hAnsi="Times New Roman" w:eastAsia="Times New Roman"/>
          <w:sz w:val="24"/>
          <w:szCs w:val="24"/>
          <w:lang w:eastAsia="ru-RU"/>
        </w:rPr>
        <w:t xml:space="preserve"> </w:t>
      </w:r>
    </w:p>
    <w:p>
      <w:pPr>
        <w:suppressAutoHyphens/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1. Общие сведения.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Полное наименование: Управление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имущественных и земельных отношений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муниципального образования «Ахтубинский район» (далее - УИЗО).</w:t>
      </w:r>
    </w:p>
    <w:p>
      <w:pPr>
        <w:suppressAutoHyphens/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Местонахождение объекта контроля и его юридический адрес: </w:t>
      </w:r>
      <w:r>
        <w:rPr>
          <w:rFonts w:ascii="Times New Roman" w:hAnsi="Times New Roman" w:eastAsia="Times New Roman"/>
          <w:sz w:val="24"/>
          <w:szCs w:val="24"/>
          <w:lang w:eastAsia="zh-CN"/>
        </w:rPr>
        <w:t>416500 Россия, Астраханская область, г. Ахтубинск, ул. Волгоградская, 141.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Контактная информация: телефон/факс: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(85141) 4-04-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  <w:t>05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Официальная эл. почта: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eastAsia="ru-RU"/>
        </w:rPr>
        <w:t>imushestvo_otdel@mail.ru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ИНН/КПП: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3022008337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/ 30010100.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УИЗО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открыты лицевые счета в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>Территориальном отделе №9 Управления Федерального казначейства по Астраханской области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, действующий в проверяемом периоде и на момент проверки: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right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Таблица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 №1</w:t>
      </w:r>
    </w:p>
    <w:tbl>
      <w:tblPr>
        <w:tblStyle w:val="4"/>
        <w:tblW w:w="93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2315"/>
        <w:gridCol w:w="6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highlight w:val="none"/>
                <w:lang w:eastAsia="ru-RU"/>
              </w:rPr>
              <w:t>№</w:t>
            </w:r>
          </w:p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highlight w:val="none"/>
                <w:lang w:eastAsia="ru-RU"/>
              </w:rPr>
              <w:t>п/п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highlight w:val="none"/>
                <w:lang w:eastAsia="ru-RU"/>
              </w:rPr>
              <w:t>Номер лицевого счета</w:t>
            </w:r>
          </w:p>
        </w:tc>
        <w:tc>
          <w:tcPr>
            <w:tcW w:w="6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highlight w:val="none"/>
                <w:lang w:eastAsia="ru-RU"/>
              </w:rPr>
              <w:t>Назначение счета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highlight w:val="none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highlight w:val="none"/>
                <w:lang w:eastAsia="ru-RU"/>
              </w:rPr>
              <w:t>.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highlight w:val="none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highlight w:val="none"/>
                <w:lang w:eastAsia="ru-RU"/>
              </w:rPr>
              <w:t>03</w:t>
            </w:r>
            <w:r>
              <w:rPr>
                <w:rFonts w:ascii="Times New Roman" w:hAnsi="Times New Roman" w:eastAsia="Calibri" w:cs="Times New Roman"/>
                <w:bCs/>
                <w:highlight w:val="none"/>
              </w:rPr>
              <w:t>253</w:t>
            </w:r>
            <w:r>
              <w:rPr>
                <w:rFonts w:ascii="Times New Roman" w:hAnsi="Times New Roman" w:eastAsia="Calibri" w:cs="Times New Roman"/>
                <w:bCs/>
                <w:highlight w:val="none"/>
                <w:lang w:val="en-US"/>
              </w:rPr>
              <w:t>D</w:t>
            </w:r>
            <w:r>
              <w:rPr>
                <w:rFonts w:hint="default" w:ascii="Times New Roman" w:hAnsi="Times New Roman" w:eastAsia="Calibri" w:cs="Times New Roman"/>
                <w:bCs/>
                <w:highlight w:val="none"/>
                <w:lang w:val="ru-RU"/>
              </w:rPr>
              <w:t>00490</w:t>
            </w:r>
          </w:p>
        </w:tc>
        <w:tc>
          <w:tcPr>
            <w:tcW w:w="6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highlight w:val="none"/>
                <w:lang w:eastAsia="ru-RU"/>
              </w:rPr>
              <w:t>Лицевой счет ПБС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highlight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highlight w:val="none"/>
                <w:lang w:val="en-US" w:eastAsia="ru-RU"/>
              </w:rPr>
              <w:t>2.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highlight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highlight w:val="none"/>
                <w:lang w:val="en-US" w:eastAsia="ru-RU"/>
              </w:rPr>
              <w:t>04253D00490</w:t>
            </w:r>
          </w:p>
        </w:tc>
        <w:tc>
          <w:tcPr>
            <w:tcW w:w="6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highlight w:val="none"/>
                <w:lang w:eastAsia="ru-RU"/>
              </w:rPr>
              <w:t>Лицевой счет администратора доходов бюджета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highlight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highlight w:val="none"/>
                <w:lang w:val="en-US" w:eastAsia="ru-RU"/>
              </w:rPr>
              <w:t>3.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highlight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highlight w:val="none"/>
                <w:lang w:val="en-US" w:eastAsia="ru-RU"/>
              </w:rPr>
              <w:t>05253D00490</w:t>
            </w:r>
          </w:p>
        </w:tc>
        <w:tc>
          <w:tcPr>
            <w:tcW w:w="6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highlight w:val="none"/>
                <w:lang w:eastAsia="ru-RU"/>
              </w:rPr>
              <w:t>Лицевой счет для учета операций со средствами, поступающими во временнон распоряжение получателя бюджетных средств</w:t>
            </w:r>
          </w:p>
        </w:tc>
      </w:tr>
    </w:tbl>
    <w:p>
      <w:pPr>
        <w:widowControl w:val="0"/>
        <w:suppressAutoHyphens/>
        <w:overflowPunct w:val="0"/>
        <w:spacing w:before="120"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Ответственными должностными лицами за финансово - хозяйственную деятельность УИЗО в проверяемом периоде являлись с правом:</w:t>
      </w:r>
    </w:p>
    <w:p>
      <w:pPr>
        <w:pStyle w:val="10"/>
        <w:spacing w:before="0" w:beforeAutospacing="0" w:afterAutospacing="0"/>
        <w:jc w:val="both"/>
        <w:rPr>
          <w:i/>
          <w:iCs/>
          <w:highlight w:val="none"/>
        </w:rPr>
      </w:pPr>
      <w:r>
        <w:rPr>
          <w:i/>
          <w:iCs/>
          <w:highlight w:val="none"/>
        </w:rPr>
        <w:t>первой подписи:</w:t>
      </w:r>
    </w:p>
    <w:p>
      <w:pPr>
        <w:pStyle w:val="10"/>
        <w:spacing w:before="0" w:beforeAutospacing="0" w:afterAutospacing="0"/>
        <w:jc w:val="both"/>
        <w:rPr>
          <w:highlight w:val="none"/>
        </w:rPr>
      </w:pPr>
      <w:r>
        <w:rPr>
          <w:highlight w:val="none"/>
        </w:rPr>
        <w:t xml:space="preserve">- </w:t>
      </w:r>
      <w:r>
        <w:rPr>
          <w:highlight w:val="none"/>
          <w:lang w:val="ru-RU"/>
        </w:rPr>
        <w:t>Начальник</w:t>
      </w:r>
      <w:r>
        <w:rPr>
          <w:rFonts w:hint="default"/>
          <w:highlight w:val="none"/>
          <w:lang w:val="ru-RU"/>
        </w:rPr>
        <w:t xml:space="preserve"> управления </w:t>
      </w:r>
      <w:r>
        <w:rPr>
          <w:rFonts w:hint="default"/>
          <w:highlight w:val="none"/>
        </w:rPr>
        <w:t>имущественных и земельных отношений</w:t>
      </w:r>
      <w:r>
        <w:rPr>
          <w:rFonts w:hint="default"/>
          <w:highlight w:val="none"/>
          <w:lang w:val="ru-RU"/>
        </w:rPr>
        <w:t xml:space="preserve"> </w:t>
      </w:r>
      <w:r>
        <w:rPr>
          <w:highlight w:val="none"/>
        </w:rPr>
        <w:t xml:space="preserve">муниципального образования «Ахтубинский район» - </w:t>
      </w:r>
      <w:r>
        <w:rPr>
          <w:highlight w:val="none"/>
          <w:lang w:val="ru-RU"/>
        </w:rPr>
        <w:t>Леонтьева</w:t>
      </w:r>
      <w:r>
        <w:rPr>
          <w:rFonts w:hint="default"/>
          <w:highlight w:val="none"/>
          <w:lang w:val="ru-RU"/>
        </w:rPr>
        <w:t xml:space="preserve"> Инна Олеговна</w:t>
      </w:r>
      <w:r>
        <w:rPr>
          <w:highlight w:val="none"/>
        </w:rPr>
        <w:t xml:space="preserve"> назначен</w:t>
      </w:r>
      <w:r>
        <w:rPr>
          <w:highlight w:val="none"/>
          <w:lang w:val="ru-RU"/>
        </w:rPr>
        <w:t>а</w:t>
      </w:r>
      <w:r>
        <w:rPr>
          <w:highlight w:val="none"/>
        </w:rPr>
        <w:t xml:space="preserve"> на должность с </w:t>
      </w:r>
      <w:r>
        <w:rPr>
          <w:rFonts w:hint="default"/>
          <w:highlight w:val="none"/>
          <w:lang w:val="ru-RU"/>
        </w:rPr>
        <w:t xml:space="preserve">14.01.2022 </w:t>
      </w:r>
      <w:r>
        <w:rPr>
          <w:highlight w:val="none"/>
        </w:rPr>
        <w:t>г. по настоящее время</w:t>
      </w:r>
      <w:r>
        <w:rPr>
          <w:rFonts w:hint="default"/>
          <w:highlight w:val="none"/>
          <w:lang w:val="ru-RU"/>
        </w:rPr>
        <w:t xml:space="preserve"> </w:t>
      </w:r>
      <w:r>
        <w:rPr>
          <w:highlight w:val="none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распоряжение </w:t>
      </w:r>
      <w:r>
        <w:rPr>
          <w:rFonts w:cs="Times New Roman"/>
          <w:sz w:val="24"/>
          <w:szCs w:val="24"/>
          <w:highlight w:val="none"/>
          <w:lang w:val="ru-RU"/>
        </w:rPr>
        <w:t>администрации</w:t>
      </w:r>
      <w:r>
        <w:rPr>
          <w:rFonts w:hint="default" w:cs="Times New Roman"/>
          <w:sz w:val="24"/>
          <w:szCs w:val="24"/>
          <w:highlight w:val="none"/>
          <w:lang w:val="ru-RU"/>
        </w:rPr>
        <w:t xml:space="preserve"> МО «Ахтубинский район» </w:t>
      </w:r>
      <w:r>
        <w:rPr>
          <w:highlight w:val="none"/>
        </w:rPr>
        <w:t xml:space="preserve">от </w:t>
      </w:r>
      <w:r>
        <w:rPr>
          <w:rFonts w:hint="default"/>
          <w:highlight w:val="none"/>
          <w:lang w:val="ru-RU"/>
        </w:rPr>
        <w:t>14.01.2022</w:t>
      </w:r>
      <w:r>
        <w:rPr>
          <w:highlight w:val="none"/>
        </w:rPr>
        <w:t xml:space="preserve"> г. №</w:t>
      </w:r>
      <w:r>
        <w:rPr>
          <w:rFonts w:hint="default"/>
          <w:highlight w:val="none"/>
          <w:lang w:val="ru-RU"/>
        </w:rPr>
        <w:t>3/л/с</w:t>
      </w:r>
      <w:r>
        <w:rPr>
          <w:highlight w:val="none"/>
        </w:rPr>
        <w:t>);</w:t>
      </w:r>
    </w:p>
    <w:p>
      <w:pPr>
        <w:pStyle w:val="10"/>
        <w:spacing w:before="0" w:beforeAutospacing="0" w:afterAutospacing="0"/>
        <w:jc w:val="both"/>
        <w:rPr>
          <w:rFonts w:hint="default"/>
          <w:i w:val="0"/>
          <w:iCs w:val="0"/>
          <w:highlight w:val="none"/>
          <w:lang w:val="ru-RU"/>
        </w:rPr>
      </w:pPr>
      <w:r>
        <w:rPr>
          <w:i/>
          <w:iCs/>
          <w:highlight w:val="none"/>
        </w:rPr>
        <w:t>второй подписи:</w:t>
      </w:r>
      <w:r>
        <w:rPr>
          <w:rFonts w:hint="default"/>
          <w:i w:val="0"/>
          <w:iCs w:val="0"/>
          <w:highlight w:val="none"/>
          <w:lang w:val="ru-RU"/>
        </w:rPr>
        <w:t xml:space="preserve"> отсутствует.</w:t>
      </w:r>
    </w:p>
    <w:p>
      <w:pPr>
        <w:pStyle w:val="10"/>
        <w:spacing w:before="0" w:beforeAutospacing="0" w:after="0" w:afterAutospacing="0"/>
        <w:ind w:firstLine="709"/>
        <w:jc w:val="both"/>
        <w:rPr>
          <w:rFonts w:hint="default"/>
          <w:lang w:val="ru-RU"/>
        </w:rPr>
      </w:pPr>
      <w:r>
        <w:t xml:space="preserve">Бухгалтерский учёт осуществляется </w:t>
      </w:r>
      <w:r>
        <w:rPr>
          <w:lang w:val="ru-RU"/>
        </w:rPr>
        <w:t>отделом</w:t>
      </w:r>
      <w:r>
        <w:rPr>
          <w:rFonts w:hint="default"/>
          <w:lang w:val="ru-RU"/>
        </w:rPr>
        <w:t xml:space="preserve"> бухгалтерского учёта и отчётности</w:t>
      </w:r>
      <w:r>
        <w:t xml:space="preserve"> администраци</w:t>
      </w:r>
      <w:r>
        <w:rPr>
          <w:lang w:val="ru-RU"/>
        </w:rPr>
        <w:t>и</w:t>
      </w:r>
      <w:r>
        <w:t xml:space="preserve"> МО «Ахтубинский район»</w:t>
      </w:r>
      <w:r>
        <w:rPr>
          <w:rFonts w:hint="default"/>
          <w:lang w:val="ru-RU"/>
        </w:rPr>
        <w:t xml:space="preserve"> на безвозмездной основе, согласно Соглашения от 28.12.2021 г. №288/2022. </w:t>
      </w:r>
    </w:p>
    <w:p>
      <w:pPr>
        <w:pStyle w:val="10"/>
        <w:spacing w:before="0" w:beforeAutospacing="0" w:afterAutospacing="0"/>
        <w:jc w:val="both"/>
        <w:rPr>
          <w:highlight w:val="none"/>
        </w:rPr>
      </w:pPr>
      <w:r>
        <w:rPr>
          <w:highlight w:val="none"/>
          <w:lang w:val="ru-RU"/>
        </w:rPr>
        <w:t>Главный</w:t>
      </w:r>
      <w:r>
        <w:rPr>
          <w:rFonts w:hint="default"/>
          <w:highlight w:val="none"/>
          <w:lang w:val="ru-RU"/>
        </w:rPr>
        <w:t xml:space="preserve"> бухгалтер</w:t>
      </w:r>
      <w:r>
        <w:rPr>
          <w:highlight w:val="none"/>
        </w:rPr>
        <w:t xml:space="preserve"> - </w:t>
      </w:r>
      <w:r>
        <w:rPr>
          <w:highlight w:val="none"/>
          <w:lang w:val="ru-RU"/>
        </w:rPr>
        <w:t>Ясинская</w:t>
      </w:r>
      <w:r>
        <w:rPr>
          <w:rFonts w:hint="default"/>
          <w:highlight w:val="none"/>
          <w:lang w:val="ru-RU"/>
        </w:rPr>
        <w:t xml:space="preserve"> Нина Викторовна,</w:t>
      </w:r>
      <w:r>
        <w:rPr>
          <w:highlight w:val="none"/>
        </w:rPr>
        <w:t xml:space="preserve"> назначена на должность </w:t>
      </w:r>
      <w:r>
        <w:rPr>
          <w:rFonts w:hint="default"/>
          <w:highlight w:val="none"/>
          <w:lang w:val="ru-RU"/>
        </w:rPr>
        <w:t xml:space="preserve">015.11.2023 г. </w:t>
      </w:r>
      <w:r>
        <w:rPr>
          <w:highlight w:val="none"/>
        </w:rPr>
        <w:t>по настоящее время (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распоряжение </w:t>
      </w:r>
      <w:r>
        <w:rPr>
          <w:rFonts w:cs="Times New Roman"/>
          <w:sz w:val="24"/>
          <w:szCs w:val="24"/>
          <w:highlight w:val="none"/>
          <w:lang w:val="ru-RU"/>
        </w:rPr>
        <w:t>администрации</w:t>
      </w:r>
      <w:r>
        <w:rPr>
          <w:rFonts w:hint="default" w:cs="Times New Roman"/>
          <w:sz w:val="24"/>
          <w:szCs w:val="24"/>
          <w:highlight w:val="none"/>
          <w:lang w:val="ru-RU"/>
        </w:rPr>
        <w:t xml:space="preserve"> МО «Ахтубинский район»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от </w:t>
      </w:r>
      <w:r>
        <w:rPr>
          <w:rFonts w:hint="default" w:cs="Times New Roman"/>
          <w:sz w:val="24"/>
          <w:szCs w:val="24"/>
          <w:highlight w:val="none"/>
          <w:lang w:val="ru-RU"/>
        </w:rPr>
        <w:t>15.11.2023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г. №</w:t>
      </w:r>
      <w:r>
        <w:rPr>
          <w:rFonts w:hint="default" w:cs="Times New Roman"/>
          <w:sz w:val="24"/>
          <w:szCs w:val="24"/>
          <w:highlight w:val="none"/>
          <w:lang w:val="ru-RU"/>
        </w:rPr>
        <w:t xml:space="preserve">214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л/с</w:t>
      </w:r>
      <w:r>
        <w:rPr>
          <w:rFonts w:hint="default" w:cs="Times New Roman"/>
          <w:sz w:val="24"/>
          <w:szCs w:val="24"/>
          <w:highlight w:val="none"/>
          <w:lang w:val="ru-RU"/>
        </w:rPr>
        <w:t>)</w:t>
      </w:r>
      <w:r>
        <w:rPr>
          <w:highlight w:val="none"/>
        </w:rPr>
        <w:t>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Годовая отчётность за 202</w:t>
      </w:r>
      <w:r>
        <w:rPr>
          <w:rFonts w:hint="default" w:ascii="Times New Roman" w:hAnsi="Times New Roman" w:eastAsia="Times New Roman"/>
          <w:sz w:val="24"/>
          <w:szCs w:val="24"/>
          <w:lang w:val="ru-RU" w:eastAsia="zh-CN"/>
        </w:rPr>
        <w:t>3</w:t>
      </w:r>
      <w:r>
        <w:rPr>
          <w:rFonts w:ascii="Times New Roman" w:hAnsi="Times New Roman" w:eastAsia="Times New Roman"/>
          <w:sz w:val="24"/>
          <w:szCs w:val="24"/>
          <w:lang w:eastAsia="zh-CN"/>
        </w:rPr>
        <w:t xml:space="preserve"> год сформирована на 01.01.202</w:t>
      </w:r>
      <w:r>
        <w:rPr>
          <w:rFonts w:hint="default" w:ascii="Times New Roman" w:hAnsi="Times New Roman" w:eastAsia="Times New Roman"/>
          <w:sz w:val="24"/>
          <w:szCs w:val="24"/>
          <w:lang w:val="ru-RU" w:eastAsia="zh-CN"/>
        </w:rPr>
        <w:t>4</w:t>
      </w:r>
      <w:r>
        <w:rPr>
          <w:rFonts w:ascii="Times New Roman" w:hAnsi="Times New Roman" w:eastAsia="Times New Roman"/>
          <w:sz w:val="24"/>
          <w:szCs w:val="24"/>
          <w:lang w:eastAsia="zh-CN"/>
        </w:rPr>
        <w:t xml:space="preserve"> г. и представлена в финансовый орган до 2</w:t>
      </w:r>
      <w:r>
        <w:rPr>
          <w:rFonts w:hint="default" w:ascii="Times New Roman" w:hAnsi="Times New Roman" w:eastAsia="Times New Roman"/>
          <w:sz w:val="24"/>
          <w:szCs w:val="24"/>
          <w:lang w:val="ru-RU" w:eastAsia="zh-CN"/>
        </w:rPr>
        <w:t>2</w:t>
      </w:r>
      <w:r>
        <w:rPr>
          <w:rFonts w:ascii="Times New Roman" w:hAnsi="Times New Roman" w:eastAsia="Times New Roman"/>
          <w:sz w:val="24"/>
          <w:szCs w:val="24"/>
          <w:lang w:eastAsia="zh-CN"/>
        </w:rPr>
        <w:t>.01.202</w:t>
      </w:r>
      <w:r>
        <w:rPr>
          <w:rFonts w:hint="default" w:ascii="Times New Roman" w:hAnsi="Times New Roman" w:eastAsia="Times New Roman"/>
          <w:sz w:val="24"/>
          <w:szCs w:val="24"/>
          <w:lang w:val="ru-RU" w:eastAsia="zh-CN"/>
        </w:rPr>
        <w:t>4</w:t>
      </w:r>
      <w:r>
        <w:rPr>
          <w:rFonts w:ascii="Times New Roman" w:hAnsi="Times New Roman" w:eastAsia="Times New Roman"/>
          <w:sz w:val="24"/>
          <w:szCs w:val="24"/>
          <w:lang w:eastAsia="zh-CN"/>
        </w:rPr>
        <w:t xml:space="preserve"> г., что соответствует сроку, установленному приказом Финансового управления администрации МО «Ахтубинский район» от </w:t>
      </w:r>
      <w:r>
        <w:rPr>
          <w:rFonts w:hint="default" w:ascii="Times New Roman" w:hAnsi="Times New Roman" w:eastAsia="Times New Roman"/>
          <w:sz w:val="24"/>
          <w:szCs w:val="24"/>
          <w:lang w:val="ru-RU" w:eastAsia="zh-CN"/>
        </w:rPr>
        <w:t>19.12.2023</w:t>
      </w:r>
      <w:r>
        <w:rPr>
          <w:rFonts w:ascii="Times New Roman" w:hAnsi="Times New Roman" w:eastAsia="Times New Roman"/>
          <w:sz w:val="24"/>
          <w:szCs w:val="24"/>
          <w:lang w:eastAsia="zh-CN"/>
        </w:rPr>
        <w:t xml:space="preserve"> г. № </w:t>
      </w:r>
      <w:r>
        <w:rPr>
          <w:rFonts w:hint="default" w:ascii="Times New Roman" w:hAnsi="Times New Roman" w:eastAsia="Times New Roman"/>
          <w:sz w:val="24"/>
          <w:szCs w:val="24"/>
          <w:lang w:val="ru-RU" w:eastAsia="zh-CN"/>
        </w:rPr>
        <w:t>164</w:t>
      </w:r>
      <w:r>
        <w:rPr>
          <w:rFonts w:ascii="Times New Roman" w:hAnsi="Times New Roman" w:eastAsia="Times New Roman"/>
          <w:sz w:val="24"/>
          <w:szCs w:val="24"/>
          <w:lang w:eastAsia="zh-CN"/>
        </w:rPr>
        <w:t>-С.</w:t>
      </w:r>
    </w:p>
    <w:p>
      <w:pPr>
        <w:pStyle w:val="10"/>
        <w:spacing w:before="0" w:beforeAutospacing="0" w:after="0" w:afterAutospacing="0"/>
        <w:ind w:firstLine="709"/>
        <w:jc w:val="both"/>
        <w:rPr>
          <w:lang w:eastAsia="zh-CN"/>
        </w:rPr>
      </w:pPr>
      <w:r>
        <w:rPr>
          <w:lang w:eastAsia="zh-CN"/>
        </w:rPr>
        <w:t>Согласно Порядку от 16.03.2017 № 295 для ГРБС установлен срок представления годовой отчётности за 202</w:t>
      </w:r>
      <w:r>
        <w:rPr>
          <w:rFonts w:hint="default"/>
          <w:lang w:val="ru-RU" w:eastAsia="zh-CN"/>
        </w:rPr>
        <w:t>3</w:t>
      </w:r>
      <w:r>
        <w:rPr>
          <w:lang w:eastAsia="zh-CN"/>
        </w:rPr>
        <w:t xml:space="preserve"> год – 20.03.202</w:t>
      </w:r>
      <w:r>
        <w:rPr>
          <w:rFonts w:hint="default"/>
          <w:lang w:val="ru-RU" w:eastAsia="zh-CN"/>
        </w:rPr>
        <w:t>4</w:t>
      </w:r>
      <w:r>
        <w:rPr>
          <w:lang w:eastAsia="zh-CN"/>
        </w:rPr>
        <w:t>г.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Бюджетная отчётность за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год направлена в адрес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>КСП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МО «Ахтубинский район» в соответствии с установленными сроками (статья 264.4 БК РФ), (письмо 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  <w:t>19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.03.202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г. исх.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  <w:t>60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).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>
      <w:pPr>
        <w:pStyle w:val="15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>Предоставление годовой бюджетной отчётности.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п.11.1, п.59.1, п.70.1 Инструкции №191н представлена следующая бюджетная отчётность:</w:t>
      </w:r>
    </w:p>
    <w:p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Таблица №1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237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№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Форма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Наличие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Баланс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ф.0503130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Справка по консолидируемым расчетам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ф.0503125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Нулевое значение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Справка по заключению счетов бюджетного учета отчетного финансового года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ф.0503110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(ГРБС)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ф.0503127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(ПБС)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ф.0503127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Отчет о бюджетных обязательствах (ГРБС)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ф.0503128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Отчет о бюджетных обязательствах (ПБС)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ф.0503128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Отчет о финансовых результатах деятельности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ф.0503121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Отчет о движении денежных средств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"consultantplus://offline/ref=866B7735309E47EE23AA00AC4214A1F2B97FFF0A08BEA69DFC7B609C652D3BC02865D8F8467701640A393B50B260736D7AEDB1DFE2730F67W6o3F"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ф.0503123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Пояснительная записка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ф.0503160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+</w:t>
            </w:r>
          </w:p>
        </w:tc>
      </w:tr>
    </w:tbl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К сводной пояснительной записке ф.0503160 представлены следующие таблицы и приложения: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Таблица №13 «</w:t>
      </w:r>
      <w:r>
        <w:rPr>
          <w:rFonts w:ascii="Times New Roman" w:hAnsi="Times New Roman"/>
          <w:sz w:val="24"/>
          <w:szCs w:val="24"/>
        </w:rPr>
        <w:t>Анализ отчета об исполнении бюджета субъектом бюджетной отчетности»;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№14 «Анализ показателей отчетности субъекта бюджетной отчетности»;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Сведения об исполнении бюджета ф.0503164;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Сведения о движении нефинансовых активов ф.0503168;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Сведения по дебиторской и кредиторской задолженности ф.0503169;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>
        <w:rPr>
          <w:rFonts w:ascii="Times New Roman" w:hAnsi="Times New Roman"/>
          <w:sz w:val="24"/>
          <w:szCs w:val="24"/>
        </w:rPr>
        <w:t>Сведения об изменении остатков валюты баланса» (ф. 0503173);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- Сведения о принятых и неисполненных обязательствах получателя бюджетных средств ф.0503175;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- Сведения об остатках денежных средств на счетах получателя бюджетных средств ф. 0503178;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</w:t>
      </w:r>
      <w:r>
        <w:rPr>
          <w:rFonts w:ascii="Times New Roman" w:hAnsi="Times New Roman"/>
          <w:sz w:val="24"/>
          <w:szCs w:val="24"/>
        </w:rPr>
        <w:t>ведения об исполнении судебных решений по денежным обязательствам»</w:t>
      </w:r>
      <w:r>
        <w:rPr>
          <w:rFonts w:ascii="Times New Roman" w:hAnsi="Times New Roman" w:cs="Times New Roman"/>
          <w:sz w:val="24"/>
          <w:szCs w:val="24"/>
        </w:rPr>
        <w:t xml:space="preserve"> (ф.0503296).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Дополнительно предоставлена 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>Главная книга за 202</w:t>
      </w:r>
      <w:r>
        <w:rPr>
          <w:rFonts w:hint="default" w:ascii="Times New Roman" w:hAnsi="Times New Roman" w:cs="Times New Roman"/>
          <w:bCs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 год</w:t>
      </w:r>
      <w:r>
        <w:rPr>
          <w:rFonts w:ascii="Times New Roman" w:hAnsi="Times New Roman"/>
          <w:bCs/>
          <w:sz w:val="24"/>
          <w:szCs w:val="24"/>
          <w:highlight w:val="none"/>
        </w:rPr>
        <w:t>.</w:t>
      </w:r>
    </w:p>
    <w:p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highlight w:val="none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Во исполнение п.4 Инструкции №191н бюджетная отчётность представлена на бумажном носителе в сброшюрованном и пронумерованном виде с оглавлением и сопроводительным письмом. Бюджетная отчётность содержит все формы отчётов, предусмотренных Инструкцией №191н (за исключением форм бюджетной отчётности, не имеющих числового значения) и подписана усиленной квалифицированной электронной подписью.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Бюджетная отчётность составлена нарастающим итогом с начала года в рублях с точностью до второго десятичного знака после запятой (п.9 Инструкции №191н).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Результаты проведения проверки выполнения контрольных соотношений между показателями форм бюджетной отчётности в автоматическом режиме подтверждены протоколом проверки междокументных контрольных соотношений с отметкой «проверка выполнена успешно».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Согласно п.7 Инструкции №191н в целях составления годовой бюджетной отчётности проведена инвентаризация активов и обязательств в порядке, установленном экономическим субъектом в рамках формирования его учётной политики.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целях подтверждения показателей годовой бюджетной отчётности в соответствии с </w:t>
      </w:r>
      <w:r>
        <w:rPr>
          <w:rFonts w:ascii="Times New Roman" w:hAnsi="Times New Roman" w:cs="Times New Roman"/>
          <w:sz w:val="24"/>
          <w:szCs w:val="24"/>
          <w:lang w:val="ru-RU"/>
        </w:rPr>
        <w:t>Решением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 проведении инвентаризации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31.10.2023 г.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№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0000-00001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прове</w:t>
      </w:r>
      <w:r>
        <w:rPr>
          <w:rFonts w:ascii="Times New Roman" w:hAnsi="Times New Roman" w:cs="Times New Roman"/>
          <w:sz w:val="24"/>
          <w:szCs w:val="24"/>
        </w:rPr>
        <w:t xml:space="preserve">дена инвентаризация.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</w:rPr>
        <w:t>В нарушение требований Инструкции №157н, ФЗ №402-ФЗ, п.3.44, 3.48 Методических указаний от 13.06.1995 №49, п.7 Инструкции №191н перед составлением годовой отчетности инвентаризация финансовых активов и обязательств проведена не в полном объеме (акты сверок с контрагентами не представлены), в связи с чем, подтвердить достоверность данных по счетам бухгалтерского учета и баланса не представляется возможным.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highlight w:val="none"/>
          <w:lang w:eastAsia="zh-CN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  <w:lang w:eastAsia="zh-CN"/>
        </w:rPr>
        <w:t xml:space="preserve">Контрольно-счетная палата рекомендует перед составлением годовой бухгалтерской отчетности проводить инвентаризацию объектов нефинансовых активов и финансовых обязательств в полном объеме.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По результатам инвентаризации расхождений между фактическим наличием активов и состоянием расчётов с данными бюджетного учёта не выявлено.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lightGray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  <w:lang w:eastAsia="zh-CN"/>
        </w:rPr>
        <w:t>Проверка правильности составления, ведения бюджетной росписи ГРБС.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соответствии с п. 1 ст. 217, п. 1 ст. 219.1 Бюджетного кодекса Российской Федерации </w:t>
      </w:r>
      <w:r>
        <w:rPr>
          <w:rFonts w:ascii="Times New Roman" w:hAnsi="Times New Roman" w:cs="Times New Roman"/>
          <w:sz w:val="24"/>
          <w:szCs w:val="24"/>
          <w:highlight w:val="none"/>
          <w:lang w:val="ru-RU" w:eastAsia="zh-CN"/>
        </w:rPr>
        <w:t>утвержден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 приказ Финансового управления от 31.12.2015 №44-с «Об утверждении Порядка составления и ве</w:t>
      </w:r>
      <w:r>
        <w:rPr>
          <w:rFonts w:ascii="Times New Roman" w:hAnsi="Times New Roman" w:cs="Times New Roman"/>
          <w:sz w:val="24"/>
          <w:szCs w:val="24"/>
          <w:lang w:eastAsia="zh-CN"/>
        </w:rPr>
        <w:t>дения сводной бюджетной росписи бюджета муниципального образования «Ахтубинский район» и бюджетных росписей главных распорядителей средств бюджета муниципального образования «Ахтубинский район» (главных администраторов источников финансирования дефицита бюджета муниципального образования «Ахтубинский район»)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 xml:space="preserve">, (далее - 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Поряд</w:t>
      </w:r>
      <w:r>
        <w:rPr>
          <w:rFonts w:ascii="Times New Roman" w:hAnsi="Times New Roman" w:cs="Times New Roman"/>
          <w:sz w:val="24"/>
          <w:szCs w:val="24"/>
          <w:highlight w:val="none"/>
          <w:lang w:val="ru-RU" w:eastAsia="zh-CN"/>
        </w:rPr>
        <w:t>ок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 ведения бюджетной росписи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>)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соответствии с установленным 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Порядком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ведения бюджетной роспис</w:t>
      </w:r>
      <w:r>
        <w:rPr>
          <w:rFonts w:ascii="Times New Roman" w:hAnsi="Times New Roman" w:cs="Times New Roman"/>
          <w:sz w:val="24"/>
          <w:szCs w:val="24"/>
          <w:highlight w:val="none"/>
          <w:lang w:val="ru-RU" w:eastAsia="zh-CN"/>
        </w:rPr>
        <w:t>и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, бюд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жетные ассигнования по расходам на 2023 год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утверждены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решением Совета </w:t>
      </w:r>
      <w:r>
        <w:rPr>
          <w:rFonts w:ascii="Times New Roman" w:hAnsi="Times New Roman" w:cs="Times New Roman"/>
          <w:sz w:val="24"/>
          <w:szCs w:val="24"/>
        </w:rPr>
        <w:t xml:space="preserve">МО «Ахтубинский </w:t>
      </w:r>
      <w:r>
        <w:rPr>
          <w:rFonts w:ascii="Times New Roman" w:hAnsi="Times New Roman" w:cs="Times New Roman"/>
          <w:sz w:val="24"/>
          <w:szCs w:val="24"/>
          <w:lang w:val="ru-RU"/>
        </w:rPr>
        <w:t>муниципальный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Астраханской области</w:t>
      </w:r>
      <w:r>
        <w:rPr>
          <w:rFonts w:ascii="Times New Roman" w:hAnsi="Times New Roman" w:cs="Times New Roman"/>
          <w:sz w:val="24"/>
          <w:szCs w:val="24"/>
        </w:rPr>
        <w:t>» от 28.12.2023 №404 «О внесении изменений в решение Совета МО «Ахтубинский район» от 08.12.2022 №309 «О бюджете муниципального образования «Ахтубинский муниципальный район Астраханской области» на 2023 год и плановый период 2024-2025 годов»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В соответствии с требованиям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и Порядка ведения бюджетной росписи, бюдже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тные ассигнования по расходам утверждены в разрезе главных распорядителей средств бюджета, разделов, подразделов, целевых статей (муниципальных программ и непрограммных направлений деятельности), групп, подгрупп видов расходов классификации расходов бюджета.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Показатели сводной бюджетной росписи главного распорядителя бюджетных средств представлены в таблице:</w:t>
      </w:r>
    </w:p>
    <w:p>
      <w:pPr>
        <w:wordWrap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highlight w:val="lightGray"/>
          <w:lang w:eastAsia="zh-CN"/>
        </w:rPr>
      </w:pP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Таблица №2 (рублей)</w:t>
      </w:r>
    </w:p>
    <w:tbl>
      <w:tblPr>
        <w:tblStyle w:val="12"/>
        <w:tblW w:w="9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3830"/>
        <w:gridCol w:w="1650"/>
        <w:gridCol w:w="1842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1123" w:type="dxa"/>
            <w:vAlign w:val="center"/>
          </w:tcPr>
          <w:p>
            <w:pPr>
              <w:spacing w:after="0" w:line="240" w:lineRule="auto"/>
              <w:ind w:left="-66" w:right="-162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Раздел/ подраздел</w:t>
            </w:r>
          </w:p>
        </w:tc>
        <w:tc>
          <w:tcPr>
            <w:tcW w:w="383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Наименование раздела, подраздела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Утверждено Решением Совета от 28.12.2023 №404 на 2023 год</w:t>
            </w:r>
          </w:p>
        </w:tc>
        <w:tc>
          <w:tcPr>
            <w:tcW w:w="18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Утверждено бюджетной росписью на 2023 год (приказ №176-С от 29.12.2023г.)</w:t>
            </w:r>
          </w:p>
        </w:tc>
        <w:tc>
          <w:tcPr>
            <w:tcW w:w="127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Изменение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exact"/>
          <w:jc w:val="center"/>
        </w:trPr>
        <w:tc>
          <w:tcPr>
            <w:tcW w:w="1123" w:type="dxa"/>
            <w:vAlign w:val="center"/>
          </w:tcPr>
          <w:p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highlight w:val="none"/>
                <w:lang w:val="en-US" w:eastAsia="zh-CN" w:bidi="ar"/>
              </w:rPr>
              <w:t>Всего</w:t>
            </w:r>
          </w:p>
        </w:tc>
        <w:tc>
          <w:tcPr>
            <w:tcW w:w="383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650" w:type="dxa"/>
          </w:tcPr>
          <w:p>
            <w:pPr>
              <w:jc w:val="center"/>
              <w:textAlignment w:val="center"/>
              <w:rPr>
                <w:rFonts w:hint="default" w:ascii="Times New Roman" w:hAnsi="Times New Roman" w:eastAsia="SimSun" w:cs="Times New Roman"/>
                <w:color w:val="000000"/>
                <w:highlight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highlight w:val="none"/>
                <w:lang w:val="ru-RU" w:eastAsia="zh-CN" w:bidi="ar"/>
              </w:rPr>
              <w:t>7995566,55</w:t>
            </w:r>
          </w:p>
        </w:tc>
        <w:tc>
          <w:tcPr>
            <w:tcW w:w="1842" w:type="dxa"/>
          </w:tcPr>
          <w:p>
            <w:pPr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ru-RU"/>
              </w:rPr>
              <w:t>8025026,13</w:t>
            </w:r>
          </w:p>
        </w:tc>
        <w:tc>
          <w:tcPr>
            <w:tcW w:w="1278" w:type="dxa"/>
            <w:vAlign w:val="bottom"/>
          </w:tcPr>
          <w:p>
            <w:pPr>
              <w:jc w:val="center"/>
              <w:textAlignment w:val="center"/>
              <w:rPr>
                <w:rFonts w:hint="default" w:ascii="Times New Roman" w:hAnsi="Times New Roman" w:eastAsia="SimSun" w:cs="Times New Roman"/>
                <w:color w:val="000000"/>
                <w:highlight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highlight w:val="none"/>
                <w:lang w:val="en-US" w:eastAsia="zh-CN" w:bidi="ar"/>
              </w:rPr>
              <w:t xml:space="preserve">29 459,58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123" w:type="dxa"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ascii="Times New Roman" w:hAnsi="Times New Roman" w:eastAsia="SimSun" w:cs="Times New Roman"/>
                <w:color w:val="000000"/>
                <w:highlight w:val="none"/>
                <w:lang w:eastAsia="zh-CN" w:bidi="ar"/>
              </w:rPr>
              <w:t>01</w:t>
            </w:r>
            <w:r>
              <w:rPr>
                <w:rFonts w:hint="default" w:ascii="Times New Roman" w:hAnsi="Times New Roman" w:eastAsia="SimSun" w:cs="Times New Roman"/>
                <w:color w:val="000000"/>
                <w:highlight w:val="none"/>
                <w:lang w:val="ru-RU" w:eastAsia="zh-CN" w:bidi="ar"/>
              </w:rPr>
              <w:t>13</w:t>
            </w:r>
          </w:p>
        </w:tc>
        <w:tc>
          <w:tcPr>
            <w:tcW w:w="3830" w:type="dxa"/>
            <w:vAlign w:val="center"/>
          </w:tcPr>
          <w:p>
            <w:pPr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ascii="Times New Roman" w:hAnsi="Times New Roman" w:eastAsia="SimSun"/>
                <w:color w:val="000000"/>
                <w:highlight w:val="none"/>
                <w:lang w:val="ru-RU" w:eastAsia="zh-CN"/>
              </w:rPr>
              <w:t>Другие</w:t>
            </w:r>
            <w:r>
              <w:rPr>
                <w:rFonts w:hint="default" w:ascii="Times New Roman" w:hAnsi="Times New Roman" w:eastAsia="SimSun"/>
                <w:color w:val="000000"/>
                <w:highlight w:val="none"/>
                <w:lang w:val="ru-RU" w:eastAsia="zh-CN"/>
              </w:rPr>
              <w:t xml:space="preserve"> общегосударственные вопросы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SimSun" w:cs="Times New Roman"/>
                <w:color w:val="000000"/>
                <w:highlight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highlight w:val="none"/>
                <w:lang w:val="en-US" w:eastAsia="zh-CN" w:bidi="ar"/>
              </w:rPr>
              <w:t>4874 101,55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>4874101,55</w:t>
            </w:r>
          </w:p>
        </w:tc>
        <w:tc>
          <w:tcPr>
            <w:tcW w:w="1278" w:type="dxa"/>
            <w:vAlign w:val="bottom"/>
          </w:tcPr>
          <w:p>
            <w:pPr>
              <w:jc w:val="center"/>
              <w:textAlignment w:val="center"/>
              <w:rPr>
                <w:rFonts w:hint="default" w:ascii="Times New Roman" w:hAnsi="Times New Roman" w:eastAsia="SimSun" w:cs="Times New Roman"/>
                <w:color w:val="000000"/>
                <w:highlight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highlight w:val="none"/>
                <w:lang w:val="en-US" w:eastAsia="zh-CN" w:bidi="ar"/>
              </w:rPr>
              <w:t xml:space="preserve"> 0,00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123" w:type="dxa"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SimSun" w:cs="Times New Roman"/>
                <w:color w:val="000000"/>
                <w:highlight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highlight w:val="none"/>
                <w:lang w:val="ru-RU" w:eastAsia="zh-CN" w:bidi="ar"/>
              </w:rPr>
              <w:t>0412</w:t>
            </w:r>
          </w:p>
        </w:tc>
        <w:tc>
          <w:tcPr>
            <w:tcW w:w="3830" w:type="dxa"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highlight w:val="none"/>
                <w:lang w:val="ru-RU" w:eastAsia="zh-CN"/>
              </w:rPr>
            </w:pPr>
            <w:r>
              <w:rPr>
                <w:rFonts w:hint="default" w:ascii="Times New Roman" w:hAnsi="Times New Roman" w:eastAsia="SimSun"/>
                <w:color w:val="000000"/>
                <w:highlight w:val="none"/>
                <w:lang w:val="ru-RU" w:eastAsia="zh-CN"/>
              </w:rPr>
              <w:t>Другие вопросы в области национальной экономики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SimSun" w:cs="Times New Roman"/>
                <w:color w:val="000000"/>
                <w:highlight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highlight w:val="none"/>
                <w:lang w:val="en-US" w:eastAsia="zh-CN" w:bidi="ar"/>
              </w:rPr>
              <w:t>3121 465,00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SimSun" w:cs="Times New Roman"/>
                <w:color w:val="000000"/>
                <w:highlight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highlight w:val="none"/>
                <w:lang w:val="ru-RU" w:eastAsia="zh-CN" w:bidi="ar"/>
              </w:rPr>
              <w:t>3150924,58</w:t>
            </w:r>
          </w:p>
        </w:tc>
        <w:tc>
          <w:tcPr>
            <w:tcW w:w="1278" w:type="dxa"/>
            <w:vAlign w:val="bottom"/>
          </w:tcPr>
          <w:p>
            <w:pPr>
              <w:jc w:val="center"/>
              <w:textAlignment w:val="center"/>
              <w:rPr>
                <w:rFonts w:hint="default" w:ascii="Times New Roman" w:hAnsi="Times New Roman" w:eastAsia="SimSun" w:cs="Times New Roman"/>
                <w:color w:val="000000"/>
                <w:highlight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highlight w:val="none"/>
                <w:lang w:val="en-US" w:eastAsia="zh-CN" w:bidi="ar"/>
              </w:rPr>
              <w:t xml:space="preserve">29 459,58 </w:t>
            </w:r>
          </w:p>
        </w:tc>
      </w:tr>
    </w:tbl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соответствии с представленной бухгалтерской отчётностью доходы, администрируемые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УИЗО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, составили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24578072,16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рублей при плане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23950835,63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рублей, исполнение составило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102,62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%. Расходы составили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7703562,50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рублей при плане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8025026,13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рублей, исполнение составило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95,99</w:t>
      </w:r>
      <w:r>
        <w:rPr>
          <w:rFonts w:ascii="Times New Roman" w:hAnsi="Times New Roman" w:cs="Times New Roman"/>
          <w:sz w:val="24"/>
          <w:szCs w:val="24"/>
          <w:lang w:eastAsia="zh-CN"/>
        </w:rPr>
        <w:t>%.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highlight w:val="lightGray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lang w:eastAsia="zh-CN"/>
        </w:rPr>
        <w:t>Проверка правильности составления, ведения бюджетной росписи ГРБС.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Проверкой полноты бюджетной отчётности в части её соответствия по составу и установленным формам, достоверности отражения показателей бюджетной отчётности по их соответствию положениям Инструкции №191н установлено (определён выборочный способ проверки):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требованиями п.7 Инструкции №191н бюджетная отчётность составлена: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на основе данных Главной книги и (или) других регистров бюджетного учёта;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на основе плановых (прогнозных) и (или) аналитических (управленческих) данных, сформированных в ходе осуществления субъектом учёта своей деятельности.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4.1. Справка по заключению счетов бюджетного учёта отчётного финансового года (ф.0503110).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Во исполнение п.43 Инструкции №191н справка отражает обороты по счетам бюджетного учёта, подлежащим закрытию по завершении отчётного финансового года в установленном порядке, в разрезе бюджетной деятельности (раздел 1 и раздел 3) и деятельности со средствами, поступающими во временное распоряжение (раздел 2).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Раздел 1 «Бюджетная деятельность» справки сформирован на основании данных по соответствующим номерам счетов 0.401.10 «Доходы текущего финансового года», 0.401.20 «Расходы текущего финансового года» в сумме показателей на 01.01.2024 (графы 2,3) и в сумме заключительных операций по закрытию счетов, произведённых по завершении 2023 года (графы 4-7). Данные показателей ф.0503110 сопоставимы с данными ф. 0503121.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highlight w:val="green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4.2. Отчёт о финансовых результатах деятельности (ф.0503121).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Отчёт ф.0503121 представлен в составе годовой бюджетной отчётности (п.п.10, 92 Инструкции №191н). Во исполнение п.92-93 Инструкции №191н отчёт содержит данные о финансовых результатах деятельности в разрезе кодов КОСГУ по состоянию на 01.01.2024г., отражённые в рамках бюджетной деятельности (гр.4) и итогового показателя (гр.6).</w:t>
      </w:r>
    </w:p>
    <w:p>
      <w:pPr>
        <w:spacing w:after="0" w:line="240" w:lineRule="auto"/>
        <w:ind w:firstLine="567"/>
        <w:jc w:val="right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Таблица №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</w:t>
      </w:r>
    </w:p>
    <w:tbl>
      <w:tblPr>
        <w:tblStyle w:val="4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6450"/>
        <w:gridCol w:w="2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29" w:type="dxa"/>
            <w:shd w:val="clear" w:color="auto" w:fill="auto"/>
            <w:vAlign w:val="center"/>
          </w:tcPr>
          <w:p>
            <w:pPr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№п/п</w:t>
            </w:r>
          </w:p>
        </w:tc>
        <w:tc>
          <w:tcPr>
            <w:tcW w:w="64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Показатель</w:t>
            </w:r>
          </w:p>
        </w:tc>
        <w:tc>
          <w:tcPr>
            <w:tcW w:w="2383" w:type="dxa"/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Бюджетная деятельность,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2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6450" w:type="dxa"/>
            <w:shd w:val="clear" w:color="auto" w:fill="auto"/>
            <w:vAlign w:val="center"/>
          </w:tcPr>
          <w:p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Доходы (стр. 010)</w:t>
            </w:r>
          </w:p>
        </w:tc>
        <w:tc>
          <w:tcPr>
            <w:tcW w:w="2383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29291487,94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exact"/>
          <w:jc w:val="center"/>
        </w:trPr>
        <w:tc>
          <w:tcPr>
            <w:tcW w:w="72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6450" w:type="dxa"/>
            <w:shd w:val="clear" w:color="auto" w:fill="auto"/>
            <w:vAlign w:val="center"/>
          </w:tcPr>
          <w:p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Расходы (стр.150)</w:t>
            </w:r>
          </w:p>
        </w:tc>
        <w:tc>
          <w:tcPr>
            <w:tcW w:w="2383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7842349,14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2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3.</w:t>
            </w:r>
          </w:p>
        </w:tc>
        <w:tc>
          <w:tcPr>
            <w:tcW w:w="6450" w:type="dxa"/>
            <w:shd w:val="clear" w:color="auto" w:fill="auto"/>
            <w:vAlign w:val="center"/>
          </w:tcPr>
          <w:p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Чистый операционный результат </w:t>
            </w:r>
          </w:p>
        </w:tc>
        <w:tc>
          <w:tcPr>
            <w:tcW w:w="2383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21449138,80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2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4.</w:t>
            </w:r>
          </w:p>
        </w:tc>
        <w:tc>
          <w:tcPr>
            <w:tcW w:w="6450" w:type="dxa"/>
            <w:shd w:val="clear" w:color="auto" w:fill="auto"/>
            <w:vAlign w:val="center"/>
          </w:tcPr>
          <w:p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Операции с нефинансовыми активами (стр. 310)</w:t>
            </w:r>
          </w:p>
        </w:tc>
        <w:tc>
          <w:tcPr>
            <w:tcW w:w="2383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72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5.</w:t>
            </w:r>
          </w:p>
        </w:tc>
        <w:tc>
          <w:tcPr>
            <w:tcW w:w="6450" w:type="dxa"/>
            <w:shd w:val="clear" w:color="auto" w:fill="auto"/>
            <w:vAlign w:val="center"/>
          </w:tcPr>
          <w:p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Операции с финансовыми активами и обязательствами (стр.410)</w:t>
            </w:r>
          </w:p>
        </w:tc>
        <w:tc>
          <w:tcPr>
            <w:tcW w:w="2383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21449138,80</w:t>
            </w:r>
          </w:p>
        </w:tc>
      </w:tr>
    </w:tbl>
    <w:p>
      <w:pPr>
        <w:spacing w:before="120"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Доходы в размере (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29291487,94</w:t>
      </w:r>
      <w:r>
        <w:rPr>
          <w:rFonts w:ascii="Times New Roman" w:hAnsi="Times New Roman" w:cs="Times New Roman"/>
          <w:sz w:val="24"/>
          <w:szCs w:val="24"/>
          <w:highlight w:val="none"/>
        </w:rPr>
        <w:t>) руб. сложились за счёт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: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доходы от собственности (код КОСГУ 120) 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23445164,32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штрафы, пени, неустойки (код КОСГУ 140) 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293700,63 </w:t>
      </w:r>
      <w:r>
        <w:rPr>
          <w:rFonts w:ascii="Times New Roman" w:hAnsi="Times New Roman" w:cs="Times New Roman"/>
          <w:sz w:val="24"/>
          <w:szCs w:val="24"/>
          <w:highlight w:val="none"/>
        </w:rPr>
        <w:t>руб.;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доходов от операций с активами (код КОСГУ 170) 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5552622,99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</w:t>
      </w:r>
    </w:p>
    <w:p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4.3. Отчёт о движении денежных средств (ф.0503123).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п.146 Инструкции №191н отчёт содержит данные о движении денежных средств в кассе, на счёте по состоянию на 01.01.2024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г. и составлен в разрезе КОСГУ. Информация сгруппирована по видам операций: текущие, инвестиционные, финансовые. Показатели графы 4 Отчёта (ф.0503123) сформированы на основании данных по видам поступлений и выбытий, с учётом возвратов текущего финансового периода.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Сумма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"consultantplus://offline/ref=827AC9A5E62DFDDB7D04897F3119B8BA47CEE20C384A92A7311A1AF96C7C502A7D3D2E439D81FE5269D41AE7A2C3C7E592C86EE01B76D2wAEEL"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строк 5010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"consultantplus://offline/ref=827AC9A5E62DFDDB7D04897F3119B8BA47CEE20C384A92A7311A1AF96C7C502A7D3D2E439D81FE5169D41AE7A2C3C7E592C86EE01B76D2wAEEL"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5020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за вычетом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"consultantplus://offline/ref=827AC9A5E62DFDDB7D04897F3119B8BA47CEE20C384A92A7311A1AF96C7C502A7D3D2E439D8EF85A69D41AE7A2C3C7E592C86EE01B76D2wAEEL"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строки 4400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суммы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"consultantplus://offline/ref=827AC9A5E62DFDDB7D04897F3119B8BA47CEE20C384A92A7311A1AF96C7C502A7D3D2E439D8EF65469D41AE7A2C3C7E592C86EE01B76D2wAEEL"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строк 4610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"consultantplus://offline/ref=827AC9A5E62DFDDB7D04897F3119B8BA47CEE20C384A92A7311A1AF96C7C502A7D3D2E439D8EF65B69D41AE7A2C3C7E592C86EE01B76D2wAEEL"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4620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отчёта (ф.0503123) равняется сумме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"consultantplus://offline/ref=827AC9A5E62DFDDB7D04897F3119B8BA47CEE20C384A92A7311A1AF96C7C502A7D3D2E43998BFD5A608B1FF2B39BCBE58DD66AFA0774D0AFw8EDL"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строк 700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"consultantplus://offline/ref=827AC9A5E62DFDDB7D04897F3119B8BA47CEE20C384A92A7311A1AF96C7C502A7D3D2E43998BFD5A6B8B1FF2B39BCBE58DD66AFA0774D0AFw8EDL"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810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граф 5 и 6 Отчёта (ф.0503127) без учёта остатков в кассе.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12"/>
          <w:szCs w:val="12"/>
          <w:highlight w:val="green"/>
        </w:rPr>
      </w:pPr>
    </w:p>
    <w:p>
      <w:pPr>
        <w:tabs>
          <w:tab w:val="left" w:pos="17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4.4. Справка по консолидируемым расчётам (ф.0503125).</w:t>
      </w:r>
    </w:p>
    <w:p>
      <w:pPr>
        <w:tabs>
          <w:tab w:val="left" w:pos="1760"/>
        </w:tabs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п.23 Инструкции №191н справка по консолидируемым расчётам формируется для определения взаимосвязанных показателей, подлежащих исключению при формировании финансовым органом, консолидированных форм бюджетной отчётности и представляется на 1 января года, следующего за отчётным, по денежным и неденежным расчётам.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В соответствии с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абз.1 п.8 Инструкции №191н, ввиду отсутствия числовых значений ф. 0503125 в отчёт не включена.</w:t>
      </w:r>
    </w:p>
    <w:p>
      <w:pPr>
        <w:tabs>
          <w:tab w:val="left" w:pos="1760"/>
        </w:tabs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green"/>
          <w:lang w:val="ru-RU"/>
        </w:rPr>
      </w:pPr>
    </w:p>
    <w:p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4.5. Отчёт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Отчёт раскрывает бюджетную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"consultantplus://offline/ref=FF3DB571B2F08C93F47E057097A9F3D75329E5619206DA4B28C691DD3EF6BE472DB07AEE7B5DD32ED77D0113CBB4D33D5860C924B24DF3B3Y0E9M"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информацию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обеспечивает сопоставление утверждённых (доведённых) бюджетных назначений с данными об исполнении бюджета. При заполнении документа руководствуются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"consultantplus://offline/ref=FF3DB571B2F08C93F47E057097A9F3D7532AE66E9508DA4B28C691DD3EF6BE472DB07AEE7B5DD725D77D0113CBB4D33D5860C924B24DF3B3Y0E9M"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п.п.52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-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"consultantplus://offline/ref=FF3DB571B2F08C93F47E057097A9F3D7532AE66E9508DA4B28C691DD3EF6BE472DB07AEE7B5DD62FD37D0113CBB4D33D5860C924B24DF3B3Y0E9M"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59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"consultantplus://offline/ref=FF3DB571B2F08C93F47E057097A9F3D7532AE66E9508DA4B28C691DD3EF6BE472DB07AEE7B5DD628D47D0113CBB4D33D5860C924B24DF3B3Y0E9M"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60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-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"consultantplus://offline/ref=FF3DB571B2F08C93F47E057097A9F3D7532AE66E9508DA4B28C691DD3EF6BE472DB07AE87956877D902358418FFFDE3D467CC925YAEDM"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62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Инструкции №191н.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Показатели по строке 500 раздела «Источники финансирования дефицита бюджета» в графах 5, 6, 7, 8 равны показателям, отражённым по строке 450 в графах 6, 7, 8, 9 соответственно, с противоположным знаком.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Показатели Отчёта (ф.0503127) сопоставимы с показателями Отчёта (ф.0503123) (отчёт показывает движение денежных средств на счетах учреждения).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Показатели граф 4, 5 и 9 разд. 2 и 3 Отчёта (ф.0503127) сопоставимы с показателями граф 4, 5 и 10 разд. 1 и 2 Отчёта (ф.0503128) соответственно.</w:t>
      </w:r>
    </w:p>
    <w:p>
      <w:pPr>
        <w:pStyle w:val="10"/>
        <w:spacing w:before="0" w:beforeAutospacing="0" w:after="0" w:afterAutospacing="0"/>
        <w:ind w:firstLine="567"/>
        <w:jc w:val="both"/>
        <w:rPr>
          <w:rFonts w:eastAsiaTheme="minorHAnsi"/>
          <w:highlight w:val="none"/>
          <w:lang w:eastAsia="en-US"/>
        </w:rPr>
      </w:pPr>
      <w:r>
        <w:rPr>
          <w:rFonts w:eastAsiaTheme="minorHAnsi"/>
          <w:highlight w:val="none"/>
          <w:lang w:eastAsia="en-US"/>
        </w:rPr>
        <w:t xml:space="preserve">Сумма доходов, отражённая в Отчёте (ф.0503127) по разделу «Доходы бюджета - всего» в графе 5 «Исполнено, через финансовые органы» – </w:t>
      </w:r>
      <w:r>
        <w:rPr>
          <w:rFonts w:hint="default" w:eastAsiaTheme="minorHAnsi"/>
          <w:highlight w:val="none"/>
          <w:lang w:val="ru-RU" w:eastAsia="en-US"/>
        </w:rPr>
        <w:t>24578072,16</w:t>
      </w:r>
      <w:r>
        <w:rPr>
          <w:rFonts w:eastAsiaTheme="minorHAnsi"/>
          <w:highlight w:val="none"/>
          <w:lang w:eastAsia="en-US"/>
        </w:rPr>
        <w:t xml:space="preserve"> руб. соответствует </w:t>
      </w:r>
      <w:r>
        <w:rPr>
          <w:highlight w:val="none"/>
        </w:rPr>
        <w:t>кредитовым оборотам</w:t>
      </w:r>
      <w:r>
        <w:rPr>
          <w:rFonts w:eastAsiaTheme="minorHAnsi"/>
          <w:highlight w:val="none"/>
          <w:lang w:eastAsia="en-US"/>
        </w:rPr>
        <w:t xml:space="preserve"> по соответствующим счетам счета 0.210.02 «Расчёты с финансовым органом по поступлениям в бюджет» в главн</w:t>
      </w:r>
      <w:r>
        <w:rPr>
          <w:rFonts w:eastAsiaTheme="minorHAnsi"/>
          <w:highlight w:val="none"/>
          <w:lang w:val="ru-RU" w:eastAsia="en-US"/>
        </w:rPr>
        <w:t>ой</w:t>
      </w:r>
      <w:r>
        <w:rPr>
          <w:rFonts w:eastAsiaTheme="minorHAnsi"/>
          <w:highlight w:val="none"/>
          <w:lang w:eastAsia="en-US"/>
        </w:rPr>
        <w:t xml:space="preserve"> книг</w:t>
      </w:r>
      <w:r>
        <w:rPr>
          <w:rFonts w:eastAsiaTheme="minorHAnsi"/>
          <w:highlight w:val="none"/>
          <w:lang w:val="ru-RU" w:eastAsia="en-US"/>
        </w:rPr>
        <w:t>е</w:t>
      </w:r>
      <w:r>
        <w:rPr>
          <w:rFonts w:eastAsiaTheme="minorHAnsi"/>
          <w:highlight w:val="none"/>
          <w:lang w:eastAsia="en-US"/>
        </w:rPr>
        <w:t xml:space="preserve"> за 2023 год с учётом возвратов денежных средств</w:t>
      </w:r>
      <w:r>
        <w:rPr>
          <w:rFonts w:hint="default" w:eastAsiaTheme="minorHAnsi"/>
          <w:highlight w:val="none"/>
          <w:lang w:val="ru-RU" w:eastAsia="en-US"/>
        </w:rPr>
        <w:t xml:space="preserve"> (представлена пояснительная записка от 12.04.2024 г. №86)</w:t>
      </w:r>
      <w:r>
        <w:rPr>
          <w:rFonts w:eastAsiaTheme="minorHAnsi"/>
          <w:highlight w:val="none"/>
          <w:lang w:eastAsia="en-US"/>
        </w:rPr>
        <w:t>.</w:t>
      </w:r>
    </w:p>
    <w:p>
      <w:pPr>
        <w:pStyle w:val="10"/>
        <w:spacing w:before="0" w:beforeAutospacing="0" w:after="0" w:afterAutospacing="0"/>
        <w:ind w:firstLine="567"/>
        <w:jc w:val="both"/>
        <w:rPr>
          <w:rFonts w:eastAsiaTheme="minorHAnsi"/>
          <w:highlight w:val="none"/>
          <w:lang w:eastAsia="en-US"/>
        </w:rPr>
      </w:pPr>
      <w:r>
        <w:rPr>
          <w:highlight w:val="none"/>
        </w:rPr>
        <w:t xml:space="preserve">Сумма расходов, отражённая в Отчёте (ф.0503127) по разделу «Расходы бюджета - всего» в графе 6 «Исполнено, через финансовые органы» – </w:t>
      </w:r>
      <w:r>
        <w:rPr>
          <w:rFonts w:hint="default"/>
          <w:highlight w:val="none"/>
          <w:lang w:val="ru-RU"/>
        </w:rPr>
        <w:t>7703562,50</w:t>
      </w:r>
      <w:r>
        <w:rPr>
          <w:highlight w:val="none"/>
        </w:rPr>
        <w:t xml:space="preserve"> руб. соответствует кредитовым оборотам по соответствующим счетам счета 0.304.05 «Расчёты по платежам из бюджета с финансовым органом» в главных книгах за 2023 год с </w:t>
      </w:r>
      <w:r>
        <w:rPr>
          <w:rFonts w:eastAsiaTheme="minorHAnsi"/>
          <w:highlight w:val="none"/>
          <w:lang w:eastAsia="en-US"/>
        </w:rPr>
        <w:t>учётом возвратов денежных средств</w:t>
      </w:r>
      <w:r>
        <w:rPr>
          <w:rFonts w:hint="default" w:eastAsiaTheme="minorHAnsi"/>
          <w:highlight w:val="none"/>
          <w:lang w:val="ru-RU" w:eastAsia="en-US"/>
        </w:rPr>
        <w:t xml:space="preserve"> (представлена пояснительная записка от 12.04.2024 г. №86)</w:t>
      </w:r>
      <w:r>
        <w:rPr>
          <w:rFonts w:eastAsiaTheme="minorHAnsi"/>
          <w:highlight w:val="none"/>
          <w:lang w:eastAsia="en-US"/>
        </w:rPr>
        <w:t>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п.59.1 Инструкции №191н сформирована дополнительная ф.0503127 содержащая данные о бюджетных назначениях по доходам, расходам, источникам финансирования дефицита бюджета. Нарушений не выявлено.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highlight w:val="green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4.6. Отчёт о бюджетных обязательствах (ф.0503128).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Отчёт составлен на основании данных о принятых и исполненных бюджетных обязательствах и представлен по состоянию на 01.01.2024г. Показатели отражены на основании данных об обязательствах, подлежащих исполнению в 2023 году (п.п.68, 69 Инструкции №191н). Отчёт заполнен в порядке, приведённом в п.п.70, 71 - 73 Инструкции №191н.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По разделу 1 «Бюджетные обязательства текущего (отчётного) финансового года по расходам» заполнение: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- графы 4 в части доведённых бюджетных ассигнований осуществлялось на основании данных по кредитовому обороту соответствующих счетов аналитического учёта счета 0.503.13 «Бюджетные ассигнования получателей бюджетных средств и администраторов выплат по источникам текущего финансового года»;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- графы 5 - отражались показатели лимитов бюджетных обязательств, доведённых себе как получателю бюджетных средств за отчётный период с учётом изменений: кредит соответствующих счетов аналитического учёта счета 0.501.13 «Лимиты бюджетных обязательств получателей бюджетных средств текущего финансового года» в корреспонденции с дебетом соответствующих счетов аналитического учёта счета 0.501.15 «Полученные лимиты бюджетных обязательств (на текущий финансовый год)». Нарушений не установлено.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Показатели граф 4, 5 и 10 разд. 1 и 2 Отчёта (ф.0503128) сопоставимы с показателями граф 4, 5 и 9 Отчёта (ф.0503127) соответственно (п.73 Инструкции №191н).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Бюджетные ассигнования по расходам в сумме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8025026,13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руб., утверждённые Приказом Финансового управления МО «Ахтубинский район» от 29.12.2023г. №176-С «Об утверждении сводной бюджетной росписи бюджета муниципального образования «Ахтубинский муниципальный район Астраханской области» на 2023 год и плановый период 2024 и 2025 годов» соответствуют гр. 4, 5 раздела 1 «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"consultantplus://offline/ref=4D973BE1B9845E6C6757B7A303DB4D29A2999F46B219EB80A89B45DBBAE6BD776605CB2664E1C3F48DD924C9E97291BBF162BF4D5395BDk764J"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Бюджетные обязательства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текущего (отчётного) финансового года по расходам» Отчёта (ф.0503128).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п.70.1 в целях формирования сводного Отчёта (ф.0503128) дополнительно сформирован отчёт (ф.0503128 о бюджетных назначениях) в части граф 4 и 5 на суммы нераспределенных бюджетных назначений (бюджетных ассигнований, лимитов бюджетных обязательств). Нарушений не выявлено.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highlight w:val="green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4.7.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(ф.0503130, далее - Баланс).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Баланс содержит данные о нефинансовых и финансовых активах, обязательствах на первый и последний день отчётного периода по счетам бюджетного учёта.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п.13 Инструкции №191н показатели в Балансе отражены в разрезе бюджетной деятельности (графы 3, 6), средств во временном распоряжении (графы 4, 7) и итогового показателя (графы 5, 8) на начало года (графы 3, 4, 5) и конец отчётного периода (графы 6, 7, 8).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Во исполнение п.14-15 Инструкции №191н в Балансе в графах «На начало года» показаны данные стоимости активов, обязательств, финансовом результате на начало года, которые соответствуют данным граф «На конец отчётного периода» предыдущего года. В графах «На конец отчётного периода» отражены данные по состоянию на 01.01.2024г. с учётом проведённых при завершении финансового года заключительных оборотов по счетам бюджетного учёта.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Показатели строки 700 Баланса соответствуют идентичным показателям строки 350.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Данные Баланса сопоставимы с показателями сведений о движении нефинансовых активов (ф.0503168) и сведений по дебиторской и кредиторской задолженности (ф.0503169).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составе Баланса сформирована справка о наличии имущества и обязательств на забалансовых счетах на начало и конец периода.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онтрольно-счетная палата отмечает,что в связи с вступлением в силу с 1 января 2023 года редакции Налогового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instrText xml:space="preserve">HYPERLINK https://login.consultant.ru/link/?req=doc&amp;base=LAW&amp;n=454148 </w:instrTex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кодекса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Российской Федерации, предусматривающей новый порядок исполнения налоговых обязательств налогоплательщиками, плательщиками сбора, плательщиками страховых взносов, налоговыми агентами путём перечисления денежных средств в бюджетную систему Российской Федерации на счет Федерального казначейства в качестве единого налогового платежа (далее - ЕНП),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instrText xml:space="preserve">HYPERLINK https://login.consultant.ru/link/?req=doc&amp;base=LAW&amp;n=436432 </w:instrTex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приказом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Министерства финансов Российской Федерации от 21 декабря 2022 г. N 192н «О внесении изменений в приказ Министерства финансов Российской Федерации от 1 декабря 2010 г.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применению"(далее - Приказ N 192н) внесены изменения в Единый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instrText xml:space="preserve">HYPERLINK https://login.consultant.ru/link/?req=doc&amp;base=LAW&amp;n=450185&amp;dst=520 </w:instrTex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план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счетов бухгалтерского учёта для органов государственной власти и Инструкцию N 157н).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в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едены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новые счета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(п.83 Приказа от 21.12.2022 г. №192н)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both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- 0 303 14 000 "Расчеты по единому налоговому платежу";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both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- 0 303 15 000 "Расчеты по единому страховому тарифу".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both"/>
        <w:textAlignment w:val="auto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</w:rPr>
        <w:instrText xml:space="preserve">HYPERLINK https://login.consultant.ru/link/?req=doc&amp;base=LAW&amp;n=450185&amp;dst=11582 </w:instrText>
      </w:r>
      <w:r>
        <w:rPr>
          <w:rFonts w:hint="default" w:ascii="Times New Roman" w:hAnsi="Times New Roman" w:eastAsia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/>
          <w:b/>
          <w:color w:val="0000FF"/>
          <w:sz w:val="24"/>
          <w:szCs w:val="24"/>
        </w:rPr>
        <w:t>Счет 0 303 14 000</w:t>
      </w:r>
      <w:r>
        <w:rPr>
          <w:rFonts w:hint="default" w:ascii="Times New Roman" w:hAnsi="Times New Roman" w:eastAsia="Times New Roman"/>
          <w:b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/>
          <w:b/>
          <w:sz w:val="24"/>
          <w:szCs w:val="24"/>
        </w:rPr>
        <w:t xml:space="preserve"> -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предназначен для перечисления в доход бюджета сумм налогов, сборов, страховых взносов и иных обязательных платежей, входящих в состав </w:t>
      </w:r>
      <w:r>
        <w:rPr>
          <w:rFonts w:hint="default" w:ascii="Times New Roman" w:hAnsi="Times New Roman" w:eastAsia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</w:rPr>
        <w:instrText xml:space="preserve">HYPERLINK https://login.consultant.ru/link/?req=doc&amp;base=PBUN&amp;n=90&amp;dst=100012 </w:instrText>
      </w:r>
      <w:r>
        <w:rPr>
          <w:rFonts w:hint="default" w:ascii="Times New Roman" w:hAnsi="Times New Roman" w:eastAsia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</w:rPr>
        <w:t>ЕНП</w:t>
      </w:r>
      <w:r>
        <w:rPr>
          <w:rFonts w:hint="default" w:ascii="Times New Roman" w:hAnsi="Times New Roman" w:eastAsia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</w:rPr>
        <w:t xml:space="preserve"> (</w:t>
      </w:r>
      <w:r>
        <w:rPr>
          <w:rFonts w:hint="default" w:ascii="Times New Roman" w:hAnsi="Times New Roman" w:eastAsia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</w:rPr>
        <w:instrText xml:space="preserve">HYPERLINK https://login.consultant.ru/link/?req=doc&amp;base=LAW&amp;n=448974&amp;dst=32929 </w:instrText>
      </w:r>
      <w:r>
        <w:rPr>
          <w:rFonts w:hint="default" w:ascii="Times New Roman" w:hAnsi="Times New Roman" w:eastAsia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</w:rPr>
        <w:t>п. 104</w:t>
      </w:r>
      <w:r>
        <w:rPr>
          <w:rFonts w:hint="default" w:ascii="Times New Roman" w:hAnsi="Times New Roman" w:eastAsia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</w:rPr>
        <w:t xml:space="preserve"> Инструкции N 162н, </w:t>
      </w:r>
      <w:r>
        <w:rPr>
          <w:rFonts w:hint="default" w:ascii="Times New Roman" w:hAnsi="Times New Roman" w:eastAsia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</w:rPr>
        <w:instrText xml:space="preserve">HYPERLINK https://login.consultant.ru/link/?req=doc&amp;base=QSBO&amp;n=24389&amp;dst=100010 </w:instrText>
      </w:r>
      <w:r>
        <w:rPr>
          <w:rFonts w:hint="default" w:ascii="Times New Roman" w:hAnsi="Times New Roman" w:eastAsia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</w:rPr>
        <w:t>Письмо</w:t>
      </w:r>
      <w:r>
        <w:rPr>
          <w:rFonts w:hint="default" w:ascii="Times New Roman" w:hAnsi="Times New Roman" w:eastAsia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</w:rPr>
        <w:t xml:space="preserve"> Минфина России от 14.09.2023 N 02-07-10/88219)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both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FF"/>
          <w:sz w:val="24"/>
          <w:szCs w:val="24"/>
          <w:lang w:val="ru-RU"/>
        </w:rPr>
        <w:t>Счет 0 303 15 000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 - предназначен для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отраж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ения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расчет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ов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по страховым взносам на ОПС, ОМС и на случай ВНиМ, , входящих в состав </w:t>
      </w:r>
      <w:r>
        <w:rPr>
          <w:rFonts w:hint="default" w:ascii="Times New Roman" w:hAnsi="Times New Roman" w:eastAsia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</w:rPr>
        <w:instrText xml:space="preserve">HYPERLINK https://login.consultant.ru/link/?req=doc&amp;base=PBUN&amp;n=90&amp;dst=100012 </w:instrText>
      </w:r>
      <w:r>
        <w:rPr>
          <w:rFonts w:hint="default" w:ascii="Times New Roman" w:hAnsi="Times New Roman" w:eastAsia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</w:rPr>
        <w:t>ЕНП</w:t>
      </w:r>
      <w:r>
        <w:rPr>
          <w:rFonts w:hint="default" w:ascii="Times New Roman" w:hAnsi="Times New Roman" w:eastAsia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(</w:t>
      </w:r>
      <w:r>
        <w:rPr>
          <w:rFonts w:hint="default" w:ascii="Times New Roman" w:hAnsi="Times New Roman" w:eastAsia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</w:rPr>
        <w:instrText xml:space="preserve">HYPERLINK https://login.consultant.ru/link/?req=doc&amp;base=LAW&amp;n=448974&amp;dst=32929 </w:instrText>
      </w:r>
      <w:r>
        <w:rPr>
          <w:rFonts w:hint="default" w:ascii="Times New Roman" w:hAnsi="Times New Roman" w:eastAsia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</w:rPr>
        <w:t>п. 104</w:t>
      </w:r>
      <w:r>
        <w:rPr>
          <w:rFonts w:hint="default" w:ascii="Times New Roman" w:hAnsi="Times New Roman" w:eastAsia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</w:rPr>
        <w:t xml:space="preserve"> Инструкции N 162н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)</w:t>
      </w:r>
      <w:r>
        <w:rPr>
          <w:rFonts w:hint="default" w:ascii="Times New Roman" w:hAnsi="Times New Roman" w:eastAsia="Times New Roman"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Уменьшение расчётов с бюджетом по единому страховому тарифу отражается на основании документа налогового органа о принадлежности сумм денежных средств (Письма Минфина России от 22.09.2023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instrText xml:space="preserve">HYPERLINK https://login.consultant.ru/link/?req=doc&amp;base=QSBO&amp;n=24404&amp;dst=100010 </w:instrTex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N 02-06-10/90743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, от 14.09.2023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instrText xml:space="preserve">HYPERLINK https://login.consultant.ru/link/?req=doc&amp;base=QSBO&amp;n=24389&amp;dst=100010 </w:instrTex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N 02-07-10/88219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В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целях корректного раскрытия в бюджетной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бухгалтерской отчетности информации о расчетах по налогам (сборам), уплачиваемым посредством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ЕНП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субъектам учета необходимо регулярно осуществлять сверку данных с налоговыми органами с учетом рекомендаций, доведенных Минфином России </w:t>
      </w:r>
      <w:r>
        <w:rPr>
          <w:rFonts w:hint="default" w:ascii="Times New Roman" w:hAnsi="Times New Roman" w:eastAsia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</w:rPr>
        <w:instrText xml:space="preserve">HYPERLINK https://login.consultant.ru/link/?req=doc&amp;base=LAW&amp;n=451640 </w:instrText>
      </w:r>
      <w:r>
        <w:rPr>
          <w:rFonts w:hint="default" w:ascii="Times New Roman" w:hAnsi="Times New Roman" w:eastAsia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/>
          <w:color w:val="0000FF"/>
          <w:sz w:val="24"/>
          <w:szCs w:val="24"/>
        </w:rPr>
        <w:t>письмом</w:t>
      </w:r>
      <w:r>
        <w:rPr>
          <w:rFonts w:hint="default" w:ascii="Times New Roman" w:hAnsi="Times New Roman" w:eastAsia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</w:rPr>
        <w:t xml:space="preserve"> от 30 июня 2023 г. N 02-07-07/60961.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В ходе проверки выявлено, что на 01.01.2024 г. у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меньшение расчётов с бюджетом по единому страховому тарифу произведено без сверки с налоговым органом.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709"/>
        <w:jc w:val="both"/>
        <w:textAlignment w:val="auto"/>
        <w:rPr>
          <w:rFonts w:hint="default" w:ascii="Times New Roman" w:hAnsi="Times New Roman" w:eastAsia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i/>
          <w:iCs/>
          <w:sz w:val="24"/>
          <w:szCs w:val="24"/>
          <w:lang w:val="ru-RU"/>
        </w:rPr>
        <w:t>Контрольно-счетная палата рекомендует в целях корректного раскрытия в бюджетной и бухгалтерской отчетности информации о расчетах по налогам (сборам) регулярно осуществлять сверку данных с налоговыми органами с учетом рекомендаций, доведенных Минфином России письмом от 30 июня 2023 г. N 02-07-07/60961.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4.8. Пояснительная записка (ф.0503160).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п.152 Инструкции №191н Пояснительная записка составлена в разрезе следующих разделов: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Раздел 1 «Организационная структура субъекта бюджетной отчётности» содержит: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Содержит информацию об открытых счетах в органах казначейства и осуществлении бухгалтерского учёта в соответствии с соглашением от 28.12.2021 г. №228/2022. </w:t>
      </w:r>
    </w:p>
    <w:p>
      <w:pPr>
        <w:spacing w:after="0" w:line="240" w:lineRule="auto"/>
        <w:ind w:firstLine="539"/>
        <w:jc w:val="both"/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"https://login.consultant.ru/link/?req=doc&amp;base=LAW&amp;n=467434&amp;dst=17781" </w:instrText>
      </w:r>
      <w:r>
        <w:rPr>
          <w:highlight w:val="none"/>
        </w:rPr>
        <w:fldChar w:fldCharType="separate"/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Сведения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</w:rPr>
        <w:t>о направлениях деятельности (Таблица №1) - имеет нулевые значения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.</w:t>
      </w:r>
    </w:p>
    <w:p>
      <w:pPr>
        <w:spacing w:after="0" w:line="240" w:lineRule="auto"/>
        <w:ind w:firstLine="539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"https://login.consultant.ru/link/?req=doc&amp;base=LAW&amp;n=467434&amp;dst=26189" </w:instrText>
      </w:r>
      <w:r>
        <w:rPr>
          <w:highlight w:val="none"/>
        </w:rPr>
        <w:fldChar w:fldCharType="separate"/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Сведения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об организационной структуре субъекта бюджетной отчётности (Таблица №11) - не предоставляется ГРБС, согласно п. 159.4 Инструкции №191н.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Раздел 2 «Результаты деятельности субъекта бюджетной отчётности»: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 результатах деятельности субъекта бюджетной отчётности (Таблица №12) - </w:t>
      </w:r>
      <w:r>
        <w:rPr>
          <w:rFonts w:ascii="Times New Roman" w:hAnsi="Times New Roman" w:eastAsia="Times New Roman"/>
          <w:sz w:val="24"/>
          <w:szCs w:val="24"/>
          <w:highlight w:val="none"/>
        </w:rPr>
        <w:t>не предоставляется ГРБС, согласно п. 159.5 Инструкции №191н.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Представлена информация о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штатной численности и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нефинансовых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активах.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Раздел 3 «Анализ отчёта об исполнении бюджета субъектом бюджетной отчётности» содержит:</w:t>
      </w:r>
    </w:p>
    <w:p>
      <w:pPr>
        <w:spacing w:after="0" w:line="240" w:lineRule="auto"/>
        <w:ind w:firstLine="539"/>
        <w:jc w:val="both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Сведения об исполнении текстовых статей закона (решения) о бюджете (Таблица №3)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-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</w:rPr>
        <w:t>име</w:t>
      </w:r>
      <w:r>
        <w:rPr>
          <w:rFonts w:ascii="Times New Roman" w:hAnsi="Times New Roman" w:eastAsia="Times New Roman"/>
          <w:sz w:val="24"/>
          <w:szCs w:val="24"/>
          <w:highlight w:val="none"/>
          <w:lang w:val="ru-RU"/>
        </w:rPr>
        <w:t>е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т нулевые значения. 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об исполнении бюджета (ф.0503164) составлены на основе показателей отчёта об исполнении бюджета (ф.0503127), процент исполнения по доходам составил –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102,62</w:t>
      </w:r>
      <w:r>
        <w:rPr>
          <w:rFonts w:ascii="Times New Roman" w:hAnsi="Times New Roman"/>
          <w:sz w:val="24"/>
          <w:szCs w:val="24"/>
          <w:highlight w:val="none"/>
        </w:rPr>
        <w:t xml:space="preserve">%, по расходам -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95,99</w:t>
      </w:r>
      <w:r>
        <w:rPr>
          <w:rFonts w:ascii="Times New Roman" w:hAnsi="Times New Roman"/>
          <w:sz w:val="24"/>
          <w:szCs w:val="24"/>
          <w:highlight w:val="none"/>
        </w:rPr>
        <w:t xml:space="preserve">%. 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об исполнении мероприятий в рамках целевых программ (ф.0503166)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-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име</w:t>
      </w:r>
      <w:r>
        <w:rPr>
          <w:rFonts w:ascii="Times New Roman" w:hAnsi="Times New Roman" w:eastAsia="Times New Roman"/>
          <w:sz w:val="24"/>
          <w:szCs w:val="24"/>
          <w:highlight w:val="none"/>
          <w:lang w:val="ru-RU"/>
        </w:rPr>
        <w:t>е</w:t>
      </w:r>
      <w:r>
        <w:rPr>
          <w:rFonts w:ascii="Times New Roman" w:hAnsi="Times New Roman" w:eastAsia="Times New Roman"/>
          <w:sz w:val="24"/>
          <w:szCs w:val="24"/>
          <w:highlight w:val="none"/>
        </w:rPr>
        <w:t>т нулевые значения</w:t>
      </w:r>
      <w:r>
        <w:rPr>
          <w:rFonts w:ascii="Times New Roman" w:hAnsi="Times New Roman"/>
          <w:sz w:val="24"/>
          <w:szCs w:val="24"/>
          <w:highlight w:val="none"/>
        </w:rPr>
        <w:t>.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 целевых иностранных кредитах (ф.0503167)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-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име</w:t>
      </w:r>
      <w:r>
        <w:rPr>
          <w:rFonts w:ascii="Times New Roman" w:hAnsi="Times New Roman" w:eastAsia="Times New Roman"/>
          <w:sz w:val="24"/>
          <w:szCs w:val="24"/>
          <w:highlight w:val="none"/>
          <w:lang w:val="ru-RU"/>
        </w:rPr>
        <w:t>е</w:t>
      </w:r>
      <w:r>
        <w:rPr>
          <w:rFonts w:ascii="Times New Roman" w:hAnsi="Times New Roman" w:eastAsia="Times New Roman"/>
          <w:sz w:val="24"/>
          <w:szCs w:val="24"/>
          <w:highlight w:val="none"/>
        </w:rPr>
        <w:t>т нулевые значения.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Анализ отчёта об исполнении бюджета субъектом бюджетной отчётности (Таблица №13) </w:t>
      </w:r>
      <w:r>
        <w:rPr>
          <w:rFonts w:ascii="Times New Roman" w:hAnsi="Times New Roman" w:eastAsia="Times New Roman"/>
          <w:sz w:val="24"/>
          <w:szCs w:val="24"/>
          <w:highlight w:val="none"/>
        </w:rPr>
        <w:t>представлен ГРБС в соответствие с п.159.6 Инструкции №191н. Содержит аналитическую информацию об исполнении бюджета в соответствии с показателями и причинами отклонений неисполненных назначений.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  <w:lang w:val="ru-RU"/>
        </w:rPr>
        <w:t>Данные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 xml:space="preserve"> соответствуют показателям в графе 9 по соответствующим строкам раздела 1 "Доходы" ф.0503127.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Замечаний не выявлено.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Раздел 4 «Анализ показателей бухгалтерской отчётности субъекта бюджетной отчётности»:</w:t>
      </w:r>
    </w:p>
    <w:p>
      <w:pPr>
        <w:pStyle w:val="1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В соответствии с п.166 Инструкции №191н Сведения о движении нефинансовых активов (ф.0503168) содержит обобщённую информацию за 2023 год о движении нефинансовых активов.</w:t>
      </w:r>
    </w:p>
    <w:p>
      <w:pPr>
        <w:pStyle w:val="1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Стоимость нефинансовых активов по состоянию на 01.01.2023г. и 01.01.2024 г. в разрезе счетов бюджетного учёта составила: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0.101.00 «Основные средства» 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237554,00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 и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237554,00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руб., что соответствует данным стр.010 Баланса (ф.0503130);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0.104.00 «Амортизация» 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237554,00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 и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237554,00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руб., что соответствует данным стр.021 Баланса (ф.0503130);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0.105.00 «Материальные запасы» 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22420,45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 и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22420,45</w:t>
      </w:r>
      <w:r>
        <w:rPr>
          <w:rFonts w:ascii="Times New Roman" w:hAnsi="Times New Roman" w:cs="Times New Roman"/>
          <w:sz w:val="24"/>
          <w:szCs w:val="24"/>
          <w:highlight w:val="none"/>
        </w:rPr>
        <w:t>руб., что соответствует данным стр.080 Баланса (ф.0503130);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0.111.60 «Права пользования нематериальными активами» 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42500,00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 и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42500,00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руб.,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что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соответствует данным стр.100 Баланса (ф.0503130).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Показатели Отчёта (ф.0503168) в графе 4 «Наличие на начало года» и графе 11 «Наличие на конец года» соответствуют данным Баланса (ф.0503130).</w:t>
      </w:r>
    </w:p>
    <w:p>
      <w:pPr>
        <w:pStyle w:val="1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соответствии с п.167 Инструкции №191н </w:t>
      </w:r>
      <w:r>
        <w:rPr>
          <w:rFonts w:ascii="Times New Roman" w:hAnsi="Times New Roman"/>
          <w:sz w:val="24"/>
          <w:szCs w:val="24"/>
          <w:highlight w:val="none"/>
        </w:rPr>
        <w:t>Сведения по дебиторской и кредиторской задолженности (ф.0503169) содержит обобщённые за отчётный период данные о состоянии расчётов по дебиторской и кредиторской задолженности субъекта бюджетной отчётности в разрезе видов расчётов.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>Дебиторская задолженность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 </w:t>
      </w:r>
      <w:r>
        <w:rPr>
          <w:rFonts w:ascii="Times New Roman" w:hAnsi="Times New Roman" w:cs="Times New Roman"/>
          <w:sz w:val="24"/>
          <w:szCs w:val="24"/>
          <w:highlight w:val="none"/>
          <w:u w:val="single"/>
        </w:rPr>
        <w:t>доходам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на 01.01.2024г. (сч.0.205.00, 0.209.00) составила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228422171,30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 и соответствуют данным стр.250 Баланса (ф.0503130).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Дебиторская задолженность по </w:t>
      </w:r>
      <w:r>
        <w:rPr>
          <w:rFonts w:ascii="Times New Roman" w:hAnsi="Times New Roman" w:cs="Times New Roman"/>
          <w:sz w:val="24"/>
          <w:szCs w:val="24"/>
          <w:highlight w:val="none"/>
          <w:u w:val="single"/>
        </w:rPr>
        <w:t>выплатам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на 01.01.2024г. (0.206.00, 0.208.00, 0.303.00)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отсутствует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соответствуют данным стр.260 Баланса (ф.0503130).</w:t>
      </w:r>
    </w:p>
    <w:p>
      <w:pPr>
        <w:pStyle w:val="1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highlight w:val="none"/>
        </w:rPr>
        <w:t>росроченн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ая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дебиторск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ая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задолженност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составляет 7355355,61 руб</w:t>
      </w:r>
      <w:r>
        <w:rPr>
          <w:rFonts w:ascii="Times New Roman" w:hAnsi="Times New Roman" w:cs="Times New Roman"/>
          <w:sz w:val="24"/>
          <w:szCs w:val="24"/>
          <w:highlight w:val="none"/>
        </w:rPr>
        <w:t>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(задолженность по договорам аренды земельных участков).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Кредиторская задолженность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 выплатам на 01.01.2024 г. (сч.0.302.00, 0.208.00, 0.304.02, 0.304.03)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отсутствует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соответствуют данным стр.410 Баланса (ф.0503130).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Кредиторская задолженность по доходам на 01.04.2024 г. </w:t>
      </w:r>
      <w:r>
        <w:rPr>
          <w:rFonts w:ascii="Times New Roman" w:hAnsi="Times New Roman"/>
          <w:sz w:val="24"/>
          <w:szCs w:val="24"/>
          <w:highlight w:val="none"/>
        </w:rPr>
        <w:t xml:space="preserve">(0.205.00, 0.209.00) составила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475774,27</w:t>
      </w:r>
      <w:r>
        <w:rPr>
          <w:rFonts w:ascii="Times New Roman" w:hAnsi="Times New Roman"/>
          <w:sz w:val="24"/>
          <w:szCs w:val="24"/>
          <w:highlight w:val="none"/>
        </w:rPr>
        <w:t xml:space="preserve"> рублей и соответствуют данным стр.470 Баланса (ф.0503130).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Доходы будущих периодов сч.1.401.40 -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217546103,72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рубль и соответствуют данным стр.510 Баланса (ф.0503130).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Резервы предстоящих расходов сч.1.401.60 -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144786,64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 и соответствуют данным стр.520 Баланса (ф.0503130).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Сведения о просроченной кредиторской задолженности отсутствуют.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финансовых вложениях получателя бюджетных средств, администратора источников финансирования дефицита бюджета (ф.0503171) - </w:t>
      </w:r>
      <w:r>
        <w:rPr>
          <w:rFonts w:ascii="Times New Roman" w:hAnsi="Times New Roman" w:eastAsia="Times New Roman"/>
          <w:sz w:val="24"/>
          <w:szCs w:val="24"/>
        </w:rPr>
        <w:t>имеют нулевые значения</w:t>
      </w:r>
      <w:r>
        <w:rPr>
          <w:rFonts w:ascii="Times New Roman" w:hAnsi="Times New Roman"/>
          <w:sz w:val="24"/>
          <w:szCs w:val="24"/>
        </w:rPr>
        <w:t>.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государственном (муниципальном) долге, предоставленных бюджетных кредитах (ф. 0503172) </w:t>
      </w:r>
      <w:r>
        <w:rPr>
          <w:rFonts w:ascii="Times New Roman" w:hAnsi="Times New Roman" w:eastAsia="Times New Roman"/>
          <w:sz w:val="24"/>
          <w:szCs w:val="24"/>
        </w:rPr>
        <w:t>не представлены, так как имеют нулевые значения.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Сведения об изменении остатков валюты баланса (ф.0503173)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- в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соответствии с п.170 Инструкции №191н</w:t>
      </w:r>
      <w:r>
        <w:rPr>
          <w:rFonts w:ascii="Times New Roman" w:hAnsi="Times New Roman"/>
          <w:sz w:val="24"/>
          <w:szCs w:val="24"/>
          <w:highlight w:val="none"/>
        </w:rPr>
        <w:t xml:space="preserve"> содержат обобщённые за 2023 год данные об изменении показателей на начало отчётного периода вступительного баланса ГРБС и баланса исполнения бюджета. Внесены изменения по стр.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100 «Права пользования активами (011100000)»</w:t>
      </w:r>
      <w:r>
        <w:rPr>
          <w:rFonts w:ascii="Times New Roman" w:hAnsi="Times New Roman"/>
          <w:sz w:val="24"/>
          <w:szCs w:val="24"/>
          <w:highlight w:val="none"/>
        </w:rPr>
        <w:t xml:space="preserve"> (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42500,00</w:t>
      </w:r>
      <w:r>
        <w:rPr>
          <w:rFonts w:ascii="Times New Roman" w:hAnsi="Times New Roman"/>
          <w:sz w:val="24"/>
          <w:szCs w:val="24"/>
          <w:highlight w:val="none"/>
        </w:rPr>
        <w:t xml:space="preserve"> руб. ), итого по разделу </w:t>
      </w:r>
      <w:r>
        <w:rPr>
          <w:rFonts w:ascii="Times New Roman" w:hAnsi="Times New Roman"/>
          <w:sz w:val="24"/>
          <w:szCs w:val="24"/>
          <w:highlight w:val="none"/>
          <w:lang w:val="en-US"/>
        </w:rPr>
        <w:t>I</w:t>
      </w:r>
      <w:r>
        <w:rPr>
          <w:rFonts w:ascii="Times New Roman" w:hAnsi="Times New Roman"/>
          <w:sz w:val="24"/>
          <w:szCs w:val="24"/>
          <w:highlight w:val="none"/>
        </w:rPr>
        <w:t xml:space="preserve"> (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42500,00</w:t>
      </w:r>
      <w:r>
        <w:rPr>
          <w:rFonts w:ascii="Times New Roman" w:hAnsi="Times New Roman"/>
          <w:sz w:val="24"/>
          <w:szCs w:val="24"/>
          <w:highlight w:val="none"/>
        </w:rPr>
        <w:t xml:space="preserve"> руб. ), дебиторской задолженности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>по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доходам </w:t>
      </w:r>
      <w:r>
        <w:rPr>
          <w:rFonts w:ascii="Times New Roman" w:hAnsi="Times New Roman"/>
          <w:sz w:val="24"/>
          <w:szCs w:val="24"/>
          <w:highlight w:val="none"/>
        </w:rPr>
        <w:t>стр. 250 (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5809500,00</w:t>
      </w:r>
      <w:r>
        <w:rPr>
          <w:rFonts w:ascii="Times New Roman" w:hAnsi="Times New Roman"/>
          <w:sz w:val="24"/>
          <w:szCs w:val="24"/>
          <w:highlight w:val="none"/>
        </w:rPr>
        <w:t xml:space="preserve"> руб.), итого по разделу </w:t>
      </w:r>
      <w:r>
        <w:rPr>
          <w:rFonts w:ascii="Times New Roman" w:hAnsi="Times New Roman"/>
          <w:sz w:val="24"/>
          <w:szCs w:val="24"/>
          <w:highlight w:val="none"/>
          <w:lang w:val="en-US"/>
        </w:rPr>
        <w:t>II</w:t>
      </w:r>
      <w:r>
        <w:rPr>
          <w:rFonts w:ascii="Times New Roman" w:hAnsi="Times New Roman"/>
          <w:sz w:val="24"/>
          <w:szCs w:val="24"/>
          <w:highlight w:val="none"/>
        </w:rPr>
        <w:t xml:space="preserve"> (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5809500,00</w:t>
      </w:r>
      <w:r>
        <w:rPr>
          <w:rFonts w:ascii="Times New Roman" w:hAnsi="Times New Roman"/>
          <w:sz w:val="24"/>
          <w:szCs w:val="24"/>
          <w:highlight w:val="none"/>
        </w:rPr>
        <w:t xml:space="preserve"> руб.), Балансу стр.350 и 700 (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5852000,00</w:t>
      </w:r>
      <w:r>
        <w:rPr>
          <w:rFonts w:ascii="Times New Roman" w:hAnsi="Times New Roman"/>
          <w:sz w:val="24"/>
          <w:szCs w:val="24"/>
          <w:highlight w:val="none"/>
        </w:rPr>
        <w:t xml:space="preserve"> руб. ),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доходам будущих периодов (5809500,00 руб.), </w:t>
      </w:r>
      <w:r>
        <w:rPr>
          <w:rFonts w:ascii="Times New Roman" w:hAnsi="Times New Roman"/>
          <w:sz w:val="24"/>
          <w:szCs w:val="24"/>
          <w:highlight w:val="none"/>
        </w:rPr>
        <w:t xml:space="preserve">итого по разделу </w:t>
      </w:r>
      <w:r>
        <w:rPr>
          <w:rFonts w:ascii="Times New Roman" w:hAnsi="Times New Roman"/>
          <w:sz w:val="24"/>
          <w:szCs w:val="24"/>
          <w:highlight w:val="none"/>
          <w:lang w:val="en-US"/>
        </w:rPr>
        <w:t>II</w:t>
      </w:r>
      <w:r>
        <w:rPr>
          <w:rFonts w:hint="default" w:ascii="Times New Roman" w:hAnsi="Times New Roman"/>
          <w:sz w:val="24"/>
          <w:szCs w:val="24"/>
          <w:highlight w:val="none"/>
          <w:lang w:val="en-US"/>
        </w:rPr>
        <w:t>I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(5809500,00 руб.),</w:t>
      </w:r>
      <w:r>
        <w:rPr>
          <w:rFonts w:ascii="Times New Roman" w:hAnsi="Times New Roman"/>
          <w:sz w:val="24"/>
          <w:szCs w:val="24"/>
          <w:highlight w:val="none"/>
        </w:rPr>
        <w:t xml:space="preserve"> финансовому результату стр.560 (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42500,00</w:t>
      </w:r>
      <w:r>
        <w:rPr>
          <w:rFonts w:ascii="Times New Roman" w:hAnsi="Times New Roman"/>
          <w:sz w:val="24"/>
          <w:szCs w:val="24"/>
          <w:highlight w:val="none"/>
        </w:rPr>
        <w:t xml:space="preserve"> руб. ), финансовому результату экономического субъекта стр.570 (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42500,00</w:t>
      </w:r>
      <w:r>
        <w:rPr>
          <w:rFonts w:ascii="Times New Roman" w:hAnsi="Times New Roman"/>
          <w:sz w:val="24"/>
          <w:szCs w:val="24"/>
          <w:highlight w:val="none"/>
        </w:rPr>
        <w:t xml:space="preserve"> руб. ). В ф.0503173 не содержатся сведения об изменениях на забалансовых счетах.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i/>
          <w:iCs/>
          <w:sz w:val="24"/>
          <w:szCs w:val="24"/>
          <w:highlight w:val="none"/>
        </w:rPr>
      </w:pPr>
      <w:r>
        <w:rPr>
          <w:rFonts w:ascii="Times New Roman" w:hAnsi="Times New Roman"/>
          <w:i/>
          <w:iCs/>
          <w:sz w:val="24"/>
          <w:szCs w:val="24"/>
          <w:highlight w:val="none"/>
        </w:rPr>
        <w:t>Контрольно-счетная палата рекомендует усилить контроль за выполнением требований по заполнению форм бюджетной отчётности, установленных Инструкцией №191н, при составлении годовой бюджетной отчётности.</w:t>
      </w:r>
    </w:p>
    <w:p>
      <w:pPr>
        <w:spacing w:after="0" w:line="240" w:lineRule="auto"/>
        <w:ind w:firstLine="539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 (ф.0503174)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- имеют нулевые значения.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Сведения о принятых и неисполненных обязательствах получателя бюджетных средств (ф.0503175)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- в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соответствии с п.170.2 Инструкции №191н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содержат аналитические данные о: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неисполненных бюджетных обязательствах (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184739,81 </w:t>
      </w:r>
      <w:r>
        <w:rPr>
          <w:rFonts w:ascii="Times New Roman" w:hAnsi="Times New Roman" w:cs="Times New Roman"/>
          <w:sz w:val="24"/>
          <w:szCs w:val="24"/>
          <w:highlight w:val="none"/>
        </w:rPr>
        <w:t>руб.), которые соответствуют показателям</w:t>
      </w:r>
      <w:r>
        <w:rPr>
          <w:rFonts w:ascii="Times New Roman" w:hAnsi="Times New Roman"/>
          <w:sz w:val="24"/>
          <w:szCs w:val="24"/>
          <w:highlight w:val="none"/>
        </w:rPr>
        <w:t xml:space="preserve"> графы 11 (ф. 0503128);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неисполненных денежных обязательствах (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0,00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руб.)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которые соответствуют показателям</w:t>
      </w:r>
      <w:r>
        <w:rPr>
          <w:rFonts w:ascii="Times New Roman" w:hAnsi="Times New Roman"/>
          <w:sz w:val="24"/>
          <w:szCs w:val="24"/>
          <w:highlight w:val="none"/>
        </w:rPr>
        <w:t xml:space="preserve"> графы 1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2</w:t>
      </w:r>
      <w:r>
        <w:rPr>
          <w:rFonts w:ascii="Times New Roman" w:hAnsi="Times New Roman"/>
          <w:sz w:val="24"/>
          <w:szCs w:val="24"/>
          <w:highlight w:val="none"/>
        </w:rPr>
        <w:t xml:space="preserve"> (ф. 0503128);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сведений об экономии при заключении государственных (муниципальных) контрактов с применением конкурентных способов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- данные гр. 2 соответствуют сумме кредитовых оборотов по сч. 502.17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45166,67</w:t>
      </w:r>
      <w:r>
        <w:rPr>
          <w:rFonts w:ascii="Times New Roman" w:hAnsi="Times New Roman" w:cs="Times New Roman"/>
          <w:sz w:val="24"/>
          <w:szCs w:val="24"/>
        </w:rPr>
        <w:t xml:space="preserve"> рублей)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согласно </w:t>
      </w:r>
      <w:r>
        <w:rPr>
          <w:rFonts w:hint="default" w:ascii="Times New Roman" w:hAnsi="Times New Roman"/>
          <w:sz w:val="24"/>
          <w:szCs w:val="24"/>
        </w:rPr>
        <w:t>п.170.2 Инструкции №191н</w:t>
      </w:r>
      <w:r>
        <w:rPr>
          <w:rFonts w:hint="default" w:ascii="Times New Roman" w:hAnsi="Times New Roman"/>
          <w:sz w:val="24"/>
          <w:szCs w:val="24"/>
          <w:lang w:val="ru-RU"/>
        </w:rPr>
        <w:t>, да</w:t>
      </w:r>
    </w:p>
    <w:p>
      <w:pPr>
        <w:spacing w:after="0" w:line="240" w:lineRule="auto"/>
        <w:ind w:firstLine="539"/>
        <w:jc w:val="both"/>
        <w:rPr>
          <w:rFonts w:hint="default"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Сведения об остатках денежных средств на счетах получателя бюджетных средств (ф.0503178)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- в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соответствии с п.173 Инструкции №191н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  <w:lang w:val="ru-RU"/>
        </w:rPr>
        <w:t>содержат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 xml:space="preserve"> информацию </w:t>
      </w:r>
      <w:r>
        <w:rPr>
          <w:rFonts w:ascii="Times New Roman" w:hAnsi="Times New Roman"/>
          <w:sz w:val="24"/>
          <w:szCs w:val="24"/>
          <w:highlight w:val="none"/>
        </w:rPr>
        <w:t>об остатках денежных средств на счетах получателя бюджетных средств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 xml:space="preserve">Показатели, отражённые в ф. 0503178, подтверждены регистрами бюджетного учёта получателя бюджетных средств (сч. 201.11.) –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629136,24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 xml:space="preserve"> рублей.</w:t>
      </w:r>
    </w:p>
    <w:p>
      <w:pPr>
        <w:spacing w:after="0" w:line="240" w:lineRule="auto"/>
        <w:ind w:firstLine="539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Сведения о вложениях в объекты недвижимого имущества, объектах незавершённого строительства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highlight w:val="none"/>
        </w:rPr>
        <w:t>ф.0503190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-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имеет нулевые значения.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Анализ показателей отчётности субъекта бюджетной отчётности (Таблица №14)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-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</w:rPr>
        <w:t>представлен</w:t>
      </w:r>
      <w:r>
        <w:rPr>
          <w:rFonts w:ascii="Times New Roman" w:hAnsi="Times New Roman" w:eastAsia="Times New Roman"/>
          <w:sz w:val="24"/>
          <w:szCs w:val="24"/>
          <w:highlight w:val="none"/>
          <w:lang w:val="ru-RU"/>
        </w:rPr>
        <w:t>а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ГРБС согласно п.159.7 Инструкции №191н. Содержит аналитическую информацию, характеризующую показатели бюджетной отчётности субъекта бюджетной отчётности, в том числе информацию о некассовых операциях, отражённых в Отчёте (ф.0503127).</w:t>
      </w:r>
    </w:p>
    <w:p>
      <w:pPr>
        <w:spacing w:after="0" w:line="240" w:lineRule="auto"/>
        <w:ind w:firstLine="539"/>
        <w:jc w:val="both"/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sz w:val="24"/>
          <w:szCs w:val="24"/>
          <w:highlight w:val="none"/>
        </w:rPr>
        <w:t>Причины увеличения просроченной задолженности (Таблица №15)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-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</w:rPr>
        <w:t>представлен</w:t>
      </w:r>
      <w:r>
        <w:rPr>
          <w:rFonts w:ascii="Times New Roman" w:hAnsi="Times New Roman" w:eastAsia="Times New Roman"/>
          <w:sz w:val="24"/>
          <w:szCs w:val="24"/>
          <w:highlight w:val="none"/>
          <w:lang w:val="ru-RU"/>
        </w:rPr>
        <w:t>а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ГРБС согласно п.159.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8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Инструкции №191н.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 xml:space="preserve"> О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>тражается информаци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ю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 xml:space="preserve"> о причинах увеличения просроченной дебиторской (кредиторской) задолженности, показатели которой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соответствуют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 xml:space="preserve"> графе 11 раздела 1 Сведений о дебиторской и кредиторской задолженности (ф. 0503169)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Раздел 5 «Прочие вопросы деятельности субъекта бюджетной отчётности» содержит: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об основных положениях учётной политики (Таблица №4) - в соответствии с пунктом 156 Инструкции №191н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>ГРБС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не представляется</w:t>
      </w:r>
      <w:r>
        <w:rPr>
          <w:rFonts w:ascii="Times New Roman" w:hAnsi="Times New Roman"/>
          <w:sz w:val="24"/>
          <w:szCs w:val="24"/>
          <w:highlight w:val="none"/>
        </w:rPr>
        <w:t xml:space="preserve">. </w:t>
      </w:r>
    </w:p>
    <w:p>
      <w:pPr>
        <w:spacing w:after="0" w:line="240" w:lineRule="auto"/>
        <w:ind w:firstLine="539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 проведении инвентаризаций (Таблица №6)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-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име</w:t>
      </w:r>
      <w:r>
        <w:rPr>
          <w:rFonts w:ascii="Times New Roman" w:hAnsi="Times New Roman" w:eastAsia="Times New Roman"/>
          <w:sz w:val="24"/>
          <w:szCs w:val="24"/>
          <w:highlight w:val="none"/>
          <w:lang w:val="ru-RU"/>
        </w:rPr>
        <w:t>е</w:t>
      </w:r>
      <w:r>
        <w:rPr>
          <w:rFonts w:ascii="Times New Roman" w:hAnsi="Times New Roman" w:eastAsia="Times New Roman"/>
          <w:sz w:val="24"/>
          <w:szCs w:val="24"/>
          <w:highlight w:val="none"/>
        </w:rPr>
        <w:t>т нулевые значения.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об исполнении судебных решений по денежным обязательствам бюджета (ф.0503296) - в соответствии с п.174 Инструкции №191н по строке 010 Сведений (ф.0503296) отражаются суммы по судебным решениям судов судебной системы Российской Федерации. В течение 2023 года было принято и исполнено по исполнительным документам денежных обязательств на общую сумму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29459,58 руб. 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hint="default" w:ascii="Times New Roman" w:hAnsi="Times New Roman"/>
          <w:sz w:val="24"/>
          <w:szCs w:val="24"/>
          <w:highlight w:val="none"/>
        </w:rPr>
        <w:t>Прочие вопросы деятельности субъекта бюджетной отчетности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highlight w:val="none"/>
        </w:rPr>
        <w:t xml:space="preserve">Таблица №16) </w:t>
      </w:r>
      <w:r>
        <w:rPr>
          <w:rFonts w:ascii="Times New Roman" w:hAnsi="Times New Roman" w:eastAsia="Times New Roman"/>
          <w:sz w:val="24"/>
          <w:szCs w:val="24"/>
          <w:highlight w:val="none"/>
        </w:rPr>
        <w:t>не предоставляются ГРБС согласно п.159.9 Инструкции №191н.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Перечень форм отчётности, не включённых в состав бюджетной отчётности за отчётный период согласно абз.1 п.8 Инструкции №191н, ввиду отсутствия числовых значений показателей: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>ф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. 0502125, ф. 0503128-НП, </w:t>
      </w:r>
      <w:r>
        <w:rPr>
          <w:rFonts w:ascii="Times New Roman" w:hAnsi="Times New Roman"/>
          <w:sz w:val="24"/>
          <w:szCs w:val="24"/>
          <w:highlight w:val="none"/>
        </w:rPr>
        <w:t>ф.0603166, ф.0503167, ф.050317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1</w:t>
      </w:r>
      <w:r>
        <w:rPr>
          <w:rFonts w:ascii="Times New Roman" w:hAnsi="Times New Roman"/>
          <w:sz w:val="24"/>
          <w:szCs w:val="24"/>
          <w:highlight w:val="none"/>
        </w:rPr>
        <w:t>, ф.0503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172</w:t>
      </w:r>
      <w:r>
        <w:rPr>
          <w:rFonts w:ascii="Times New Roman" w:hAnsi="Times New Roman"/>
          <w:sz w:val="24"/>
          <w:szCs w:val="24"/>
          <w:highlight w:val="none"/>
        </w:rPr>
        <w:t>,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ф. 0503174, ф. 0503190, ф. 0503191, ф. 0503192, ф. 0503193,</w:t>
      </w:r>
      <w:r>
        <w:rPr>
          <w:rFonts w:ascii="Times New Roman" w:hAnsi="Times New Roman"/>
          <w:sz w:val="24"/>
          <w:szCs w:val="24"/>
          <w:highlight w:val="none"/>
        </w:rPr>
        <w:t xml:space="preserve"> таблица №1, №3, №6.</w:t>
      </w:r>
    </w:p>
    <w:p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Вывод.</w:t>
      </w:r>
    </w:p>
    <w:p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Оценка полноты и достоверности бюджетной отчётности во всех существенных отношениях проводилась на выборочной основе. Бюджетная отчётность за 2023 год представлена в срок, достоверна, соответствует структуре и бюджетной классификации. </w:t>
      </w:r>
    </w:p>
    <w:p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Нарушений и недостатков, существенно оказавших влияние на полноту отражения показателей отчётности и на достоверность показателей представленной отчётности за 2023 год, не выявлено.</w:t>
      </w:r>
    </w:p>
    <w:p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нарушение требований п.7 Инструкции №191н при проведении инвентаризации, акты сверок взаимных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расчётов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подтверждающие достоверность сумм финансовых активов и обязательств, не представлены, в связи с чем, подтвердить достоверность данных по счетам бухгалтерского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учёта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баланса не представляется возможным и указывает на формальный подход к проведению инвентаризации в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году.</w:t>
      </w:r>
    </w:p>
    <w:p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 течение 2023 года было принято и исполнено по исполнительным документам денежных обязательств на общую сумму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29459,58 руб. </w:t>
      </w:r>
    </w:p>
    <w:p>
      <w:pPr>
        <w:pStyle w:val="15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>Рекомендации: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Усилить контроль за выполнением требований по заполнению форм бюджетной отчётности, установленных Инструкцией №191н, при составлении годовой бюджетной отчётности.</w:t>
      </w:r>
    </w:p>
    <w:p>
      <w:pPr>
        <w:numPr>
          <w:ilvl w:val="0"/>
          <w:numId w:val="4"/>
        </w:numPr>
        <w:spacing w:after="0" w:line="240" w:lineRule="auto"/>
        <w:ind w:left="0" w:leftChars="0" w:firstLine="300" w:firstLineChars="125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целях корректного раскрытия в бюджетной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бухгалтерской отчетности информации о расчетах по налогам (сборам) регулярно осуществлять сверку данных с налоговыми органами с учетом рекомендаций, доведенных Минфином России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instrText xml:space="preserve">HYPERLINK https://login.consultant.ru/link/?req=doc&amp;base=LAW&amp;n=451640 </w:instrTex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письмом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от 30 июня 2023 г. N 02-07-07/60961.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Председатель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КСП МО «Ахтубинский район»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Журавлева Ю.Ю.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850" w:bottom="993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thinThickSmallGap" w:color="622423" w:themeColor="accent2" w:themeShade="7F" w:sz="24" w:space="1"/>
      </w:pBdr>
      <w:rPr>
        <w:rFonts w:asciiTheme="majorHAnsi" w:hAnsiTheme="majorHAnsi" w:eastAsiaTheme="majorEastAsia" w:cstheme="majorBidi"/>
      </w:rPr>
    </w:pPr>
    <w:r>
      <w:rPr>
        <w:rFonts w:asciiTheme="majorHAnsi" w:hAnsiTheme="majorHAnsi" w:eastAsiaTheme="majorEastAsia" w:cstheme="majorBidi"/>
      </w:rPr>
      <w:t>Заключение Контрольно-счетной палаты МО «Ахтубинский район»</w:t>
    </w:r>
    <w:r>
      <w:rPr>
        <w:rFonts w:asciiTheme="majorHAnsi" w:hAnsiTheme="majorHAnsi" w:eastAsiaTheme="majorEastAsia" w:cstheme="majorBidi"/>
      </w:rPr>
      <w:ptab w:relativeTo="margin" w:alignment="right" w:leader="none"/>
    </w:r>
    <w:r>
      <w:rPr>
        <w:rFonts w:asciiTheme="majorHAnsi" w:hAnsiTheme="majorHAnsi" w:eastAsiaTheme="majorEastAsia" w:cstheme="majorBidi"/>
      </w:rPr>
      <w:t xml:space="preserve">Страница </w:t>
    </w:r>
    <w:r>
      <w:rPr>
        <w:rFonts w:eastAsiaTheme="minorEastAsia"/>
      </w:rPr>
      <w:fldChar w:fldCharType="begin"/>
    </w:r>
    <w:r>
      <w:instrText xml:space="preserve">PAGE   \* MERGEFORMAT</w:instrText>
    </w:r>
    <w:r>
      <w:rPr>
        <w:rFonts w:eastAsiaTheme="minorEastAsia"/>
      </w:rPr>
      <w:fldChar w:fldCharType="separate"/>
    </w:r>
    <w:r>
      <w:rPr>
        <w:rFonts w:asciiTheme="majorHAnsi" w:hAnsiTheme="majorHAnsi" w:eastAsiaTheme="majorEastAsia" w:cstheme="majorBidi"/>
      </w:rPr>
      <w:t>7</w:t>
    </w:r>
    <w:r>
      <w:rPr>
        <w:rFonts w:asciiTheme="majorHAnsi" w:hAnsiTheme="majorHAnsi" w:eastAsiaTheme="majorEastAsia" w:cstheme="majorBidi"/>
      </w:rP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072DA1"/>
    <w:multiLevelType w:val="singleLevel"/>
    <w:tmpl w:val="B0072DA1"/>
    <w:lvl w:ilvl="0" w:tentative="0">
      <w:start w:val="1"/>
      <w:numFmt w:val="decimal"/>
      <w:suff w:val="space"/>
      <w:lvlText w:val="%1."/>
      <w:lvlJc w:val="left"/>
      <w:rPr>
        <w:rFonts w:hint="default"/>
        <w:i w:val="0"/>
        <w:iCs w:val="0"/>
      </w:rPr>
    </w:lvl>
  </w:abstractNum>
  <w:abstractNum w:abstractNumId="1">
    <w:nsid w:val="3332FFFB"/>
    <w:multiLevelType w:val="singleLevel"/>
    <w:tmpl w:val="3332FFFB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3F11AD6C"/>
    <w:multiLevelType w:val="singleLevel"/>
    <w:tmpl w:val="3F11AD6C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  <w:i w:val="0"/>
        <w:iCs w:val="0"/>
      </w:rPr>
    </w:lvl>
  </w:abstractNum>
  <w:abstractNum w:abstractNumId="3">
    <w:nsid w:val="4D5C1717"/>
    <w:multiLevelType w:val="multilevel"/>
    <w:tmpl w:val="4D5C1717"/>
    <w:lvl w:ilvl="0" w:tentative="0">
      <w:start w:val="1"/>
      <w:numFmt w:val="bullet"/>
      <w:lvlText w:val=""/>
      <w:lvlJc w:val="left"/>
      <w:pPr>
        <w:ind w:left="10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55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993"/>
    <w:rsid w:val="0002005C"/>
    <w:rsid w:val="00020CB0"/>
    <w:rsid w:val="00021BFF"/>
    <w:rsid w:val="0002347A"/>
    <w:rsid w:val="0002430A"/>
    <w:rsid w:val="00024BF8"/>
    <w:rsid w:val="000344B0"/>
    <w:rsid w:val="000415A4"/>
    <w:rsid w:val="00041F3B"/>
    <w:rsid w:val="00047905"/>
    <w:rsid w:val="00047F1F"/>
    <w:rsid w:val="0005072A"/>
    <w:rsid w:val="0005238E"/>
    <w:rsid w:val="00053841"/>
    <w:rsid w:val="0005782E"/>
    <w:rsid w:val="00061C82"/>
    <w:rsid w:val="00062F8D"/>
    <w:rsid w:val="00066609"/>
    <w:rsid w:val="00066658"/>
    <w:rsid w:val="00067C0F"/>
    <w:rsid w:val="00067CB0"/>
    <w:rsid w:val="0007141D"/>
    <w:rsid w:val="00071AB1"/>
    <w:rsid w:val="000728BD"/>
    <w:rsid w:val="00075CC8"/>
    <w:rsid w:val="00075D18"/>
    <w:rsid w:val="000766D2"/>
    <w:rsid w:val="000900F6"/>
    <w:rsid w:val="000906F8"/>
    <w:rsid w:val="00091AD6"/>
    <w:rsid w:val="000934BD"/>
    <w:rsid w:val="000934D1"/>
    <w:rsid w:val="000A2708"/>
    <w:rsid w:val="000A44EE"/>
    <w:rsid w:val="000A4CA4"/>
    <w:rsid w:val="000B4533"/>
    <w:rsid w:val="000B6E4C"/>
    <w:rsid w:val="000C4801"/>
    <w:rsid w:val="000C4D53"/>
    <w:rsid w:val="000C5BDE"/>
    <w:rsid w:val="000C73E5"/>
    <w:rsid w:val="000D1EC7"/>
    <w:rsid w:val="000D2311"/>
    <w:rsid w:val="000D69B2"/>
    <w:rsid w:val="000E5F05"/>
    <w:rsid w:val="000E6906"/>
    <w:rsid w:val="000F34DA"/>
    <w:rsid w:val="000F423C"/>
    <w:rsid w:val="000F6B30"/>
    <w:rsid w:val="00101979"/>
    <w:rsid w:val="00101AD0"/>
    <w:rsid w:val="00105E6F"/>
    <w:rsid w:val="00106231"/>
    <w:rsid w:val="001062A9"/>
    <w:rsid w:val="0011015C"/>
    <w:rsid w:val="00112D6E"/>
    <w:rsid w:val="00123823"/>
    <w:rsid w:val="0012564A"/>
    <w:rsid w:val="00125D50"/>
    <w:rsid w:val="00136349"/>
    <w:rsid w:val="00140E90"/>
    <w:rsid w:val="00141494"/>
    <w:rsid w:val="00146CD7"/>
    <w:rsid w:val="00147A26"/>
    <w:rsid w:val="001566B9"/>
    <w:rsid w:val="00160877"/>
    <w:rsid w:val="0017067B"/>
    <w:rsid w:val="00172A27"/>
    <w:rsid w:val="00180229"/>
    <w:rsid w:val="00181D6A"/>
    <w:rsid w:val="00185F28"/>
    <w:rsid w:val="001963CD"/>
    <w:rsid w:val="001A3703"/>
    <w:rsid w:val="001A3963"/>
    <w:rsid w:val="001A731D"/>
    <w:rsid w:val="001B0400"/>
    <w:rsid w:val="001B3612"/>
    <w:rsid w:val="001B6F28"/>
    <w:rsid w:val="001B7C79"/>
    <w:rsid w:val="001C3C1C"/>
    <w:rsid w:val="001C4A95"/>
    <w:rsid w:val="001C587C"/>
    <w:rsid w:val="001D40B5"/>
    <w:rsid w:val="001D4FB6"/>
    <w:rsid w:val="001D6111"/>
    <w:rsid w:val="001E0A9D"/>
    <w:rsid w:val="001E2566"/>
    <w:rsid w:val="001E5405"/>
    <w:rsid w:val="001F1A1F"/>
    <w:rsid w:val="001F5DFD"/>
    <w:rsid w:val="00201A5F"/>
    <w:rsid w:val="00203002"/>
    <w:rsid w:val="00203AC1"/>
    <w:rsid w:val="002307F6"/>
    <w:rsid w:val="002313D8"/>
    <w:rsid w:val="0023161E"/>
    <w:rsid w:val="002360F1"/>
    <w:rsid w:val="00236C1D"/>
    <w:rsid w:val="0023759D"/>
    <w:rsid w:val="00244995"/>
    <w:rsid w:val="00246A6F"/>
    <w:rsid w:val="00246CCE"/>
    <w:rsid w:val="00247EE1"/>
    <w:rsid w:val="00250ECB"/>
    <w:rsid w:val="0025296E"/>
    <w:rsid w:val="002631A4"/>
    <w:rsid w:val="002636EB"/>
    <w:rsid w:val="002647A8"/>
    <w:rsid w:val="00264B14"/>
    <w:rsid w:val="00271123"/>
    <w:rsid w:val="002761A8"/>
    <w:rsid w:val="00282921"/>
    <w:rsid w:val="00285210"/>
    <w:rsid w:val="00286D69"/>
    <w:rsid w:val="00290749"/>
    <w:rsid w:val="0029324A"/>
    <w:rsid w:val="002932D2"/>
    <w:rsid w:val="002933BE"/>
    <w:rsid w:val="00293B9C"/>
    <w:rsid w:val="002A1DB6"/>
    <w:rsid w:val="002B5B18"/>
    <w:rsid w:val="002B602E"/>
    <w:rsid w:val="002C40BD"/>
    <w:rsid w:val="002D130B"/>
    <w:rsid w:val="002D307D"/>
    <w:rsid w:val="002D3F9D"/>
    <w:rsid w:val="002E5C84"/>
    <w:rsid w:val="002E5F24"/>
    <w:rsid w:val="002E76E5"/>
    <w:rsid w:val="002E7C66"/>
    <w:rsid w:val="002F717C"/>
    <w:rsid w:val="0030069F"/>
    <w:rsid w:val="003044BE"/>
    <w:rsid w:val="00304535"/>
    <w:rsid w:val="003058BD"/>
    <w:rsid w:val="00310EAC"/>
    <w:rsid w:val="0032199A"/>
    <w:rsid w:val="00321B2D"/>
    <w:rsid w:val="0032733B"/>
    <w:rsid w:val="003276D4"/>
    <w:rsid w:val="003358A4"/>
    <w:rsid w:val="00336946"/>
    <w:rsid w:val="00346A44"/>
    <w:rsid w:val="00350927"/>
    <w:rsid w:val="00353679"/>
    <w:rsid w:val="003555AE"/>
    <w:rsid w:val="0036097F"/>
    <w:rsid w:val="00361BA1"/>
    <w:rsid w:val="0036369C"/>
    <w:rsid w:val="0037657A"/>
    <w:rsid w:val="0037759E"/>
    <w:rsid w:val="0037789D"/>
    <w:rsid w:val="003836ED"/>
    <w:rsid w:val="00384B96"/>
    <w:rsid w:val="00384EC1"/>
    <w:rsid w:val="00386D2D"/>
    <w:rsid w:val="00390834"/>
    <w:rsid w:val="00392640"/>
    <w:rsid w:val="003A0323"/>
    <w:rsid w:val="003A1076"/>
    <w:rsid w:val="003B6982"/>
    <w:rsid w:val="003C230A"/>
    <w:rsid w:val="003C25DD"/>
    <w:rsid w:val="003C2DC1"/>
    <w:rsid w:val="003D1F00"/>
    <w:rsid w:val="003D4E10"/>
    <w:rsid w:val="003E15E1"/>
    <w:rsid w:val="003E4A34"/>
    <w:rsid w:val="003F0125"/>
    <w:rsid w:val="003F0A18"/>
    <w:rsid w:val="003F665B"/>
    <w:rsid w:val="00400199"/>
    <w:rsid w:val="0040759E"/>
    <w:rsid w:val="00423630"/>
    <w:rsid w:val="00424826"/>
    <w:rsid w:val="00424B06"/>
    <w:rsid w:val="00425E03"/>
    <w:rsid w:val="00431141"/>
    <w:rsid w:val="004324DD"/>
    <w:rsid w:val="00436A16"/>
    <w:rsid w:val="004374BD"/>
    <w:rsid w:val="004414EE"/>
    <w:rsid w:val="004425FF"/>
    <w:rsid w:val="00444D58"/>
    <w:rsid w:val="0045563D"/>
    <w:rsid w:val="004617CA"/>
    <w:rsid w:val="00462EEB"/>
    <w:rsid w:val="0047082B"/>
    <w:rsid w:val="00475450"/>
    <w:rsid w:val="00477BE0"/>
    <w:rsid w:val="0048141D"/>
    <w:rsid w:val="00484014"/>
    <w:rsid w:val="00490032"/>
    <w:rsid w:val="0049277A"/>
    <w:rsid w:val="00493F08"/>
    <w:rsid w:val="004958C8"/>
    <w:rsid w:val="00495FF6"/>
    <w:rsid w:val="004A2E77"/>
    <w:rsid w:val="004B59BF"/>
    <w:rsid w:val="004C1AD4"/>
    <w:rsid w:val="004C20A3"/>
    <w:rsid w:val="004D6DC6"/>
    <w:rsid w:val="004D6FA7"/>
    <w:rsid w:val="004D7F62"/>
    <w:rsid w:val="004E17C1"/>
    <w:rsid w:val="004E2AE5"/>
    <w:rsid w:val="004E2FE3"/>
    <w:rsid w:val="004E3577"/>
    <w:rsid w:val="004E493A"/>
    <w:rsid w:val="004E5A3C"/>
    <w:rsid w:val="004E7E57"/>
    <w:rsid w:val="00501BD1"/>
    <w:rsid w:val="00504068"/>
    <w:rsid w:val="005065B5"/>
    <w:rsid w:val="00506B6F"/>
    <w:rsid w:val="00510739"/>
    <w:rsid w:val="005141D8"/>
    <w:rsid w:val="00516400"/>
    <w:rsid w:val="005165A7"/>
    <w:rsid w:val="00516E6C"/>
    <w:rsid w:val="00520221"/>
    <w:rsid w:val="0052075C"/>
    <w:rsid w:val="00521894"/>
    <w:rsid w:val="0053004E"/>
    <w:rsid w:val="00536299"/>
    <w:rsid w:val="00553B2E"/>
    <w:rsid w:val="005548B7"/>
    <w:rsid w:val="00561FBD"/>
    <w:rsid w:val="0056264C"/>
    <w:rsid w:val="005639A0"/>
    <w:rsid w:val="005653D3"/>
    <w:rsid w:val="0056640F"/>
    <w:rsid w:val="00566F57"/>
    <w:rsid w:val="005812B1"/>
    <w:rsid w:val="00582776"/>
    <w:rsid w:val="005847A7"/>
    <w:rsid w:val="00584F6B"/>
    <w:rsid w:val="00587FEF"/>
    <w:rsid w:val="005918DA"/>
    <w:rsid w:val="00593F96"/>
    <w:rsid w:val="005965CA"/>
    <w:rsid w:val="005A2A83"/>
    <w:rsid w:val="005A2F74"/>
    <w:rsid w:val="005A7D3C"/>
    <w:rsid w:val="005B3A7B"/>
    <w:rsid w:val="005C0CEE"/>
    <w:rsid w:val="005C4F63"/>
    <w:rsid w:val="005D348E"/>
    <w:rsid w:val="005D74F1"/>
    <w:rsid w:val="005E1D7A"/>
    <w:rsid w:val="005E4A65"/>
    <w:rsid w:val="005E6C74"/>
    <w:rsid w:val="005F0D68"/>
    <w:rsid w:val="005F518A"/>
    <w:rsid w:val="00602E77"/>
    <w:rsid w:val="00606BC8"/>
    <w:rsid w:val="006104F4"/>
    <w:rsid w:val="00614AB8"/>
    <w:rsid w:val="006159C4"/>
    <w:rsid w:val="00617938"/>
    <w:rsid w:val="00624724"/>
    <w:rsid w:val="0062666C"/>
    <w:rsid w:val="006301F0"/>
    <w:rsid w:val="00631D1E"/>
    <w:rsid w:val="00633D9B"/>
    <w:rsid w:val="00634259"/>
    <w:rsid w:val="00637047"/>
    <w:rsid w:val="006403A8"/>
    <w:rsid w:val="006412FB"/>
    <w:rsid w:val="00650369"/>
    <w:rsid w:val="00650815"/>
    <w:rsid w:val="0065098E"/>
    <w:rsid w:val="00653A7C"/>
    <w:rsid w:val="00654B5A"/>
    <w:rsid w:val="00660ABF"/>
    <w:rsid w:val="00661DC8"/>
    <w:rsid w:val="00664B8A"/>
    <w:rsid w:val="006800F9"/>
    <w:rsid w:val="00686BF3"/>
    <w:rsid w:val="00692DC6"/>
    <w:rsid w:val="00693BE8"/>
    <w:rsid w:val="00694123"/>
    <w:rsid w:val="006A0A8A"/>
    <w:rsid w:val="006A147B"/>
    <w:rsid w:val="006A172E"/>
    <w:rsid w:val="006A2E9A"/>
    <w:rsid w:val="006A6638"/>
    <w:rsid w:val="006B1E44"/>
    <w:rsid w:val="006B7FF0"/>
    <w:rsid w:val="006C07D5"/>
    <w:rsid w:val="006C5EF5"/>
    <w:rsid w:val="006C6435"/>
    <w:rsid w:val="006D19ED"/>
    <w:rsid w:val="006E05B5"/>
    <w:rsid w:val="006E0C85"/>
    <w:rsid w:val="006E3E2A"/>
    <w:rsid w:val="006E6E5B"/>
    <w:rsid w:val="006F087F"/>
    <w:rsid w:val="006F1907"/>
    <w:rsid w:val="006F2BB2"/>
    <w:rsid w:val="006F4593"/>
    <w:rsid w:val="006F5B9D"/>
    <w:rsid w:val="0070265C"/>
    <w:rsid w:val="00704D5E"/>
    <w:rsid w:val="00706649"/>
    <w:rsid w:val="00706852"/>
    <w:rsid w:val="00707E78"/>
    <w:rsid w:val="007145E5"/>
    <w:rsid w:val="0071529E"/>
    <w:rsid w:val="00715D85"/>
    <w:rsid w:val="007243C3"/>
    <w:rsid w:val="00724E79"/>
    <w:rsid w:val="0072724E"/>
    <w:rsid w:val="00731D93"/>
    <w:rsid w:val="00732445"/>
    <w:rsid w:val="00734DC3"/>
    <w:rsid w:val="00736A43"/>
    <w:rsid w:val="007400A0"/>
    <w:rsid w:val="00742F56"/>
    <w:rsid w:val="00744C60"/>
    <w:rsid w:val="00744E70"/>
    <w:rsid w:val="0074556A"/>
    <w:rsid w:val="00760362"/>
    <w:rsid w:val="007606D4"/>
    <w:rsid w:val="007645D2"/>
    <w:rsid w:val="00766D0A"/>
    <w:rsid w:val="007727C2"/>
    <w:rsid w:val="00775134"/>
    <w:rsid w:val="00775FD4"/>
    <w:rsid w:val="00780E34"/>
    <w:rsid w:val="007812B3"/>
    <w:rsid w:val="00781897"/>
    <w:rsid w:val="00781AD3"/>
    <w:rsid w:val="00783DA7"/>
    <w:rsid w:val="0078650C"/>
    <w:rsid w:val="00791BFC"/>
    <w:rsid w:val="0079474F"/>
    <w:rsid w:val="007953B4"/>
    <w:rsid w:val="00796742"/>
    <w:rsid w:val="007978AC"/>
    <w:rsid w:val="007A0EE6"/>
    <w:rsid w:val="007A36A7"/>
    <w:rsid w:val="007B18BB"/>
    <w:rsid w:val="007D2C06"/>
    <w:rsid w:val="007D5BBD"/>
    <w:rsid w:val="007E05DE"/>
    <w:rsid w:val="007E3B48"/>
    <w:rsid w:val="007E4846"/>
    <w:rsid w:val="007E666D"/>
    <w:rsid w:val="007F40DD"/>
    <w:rsid w:val="0080268F"/>
    <w:rsid w:val="008106AD"/>
    <w:rsid w:val="00811748"/>
    <w:rsid w:val="00814326"/>
    <w:rsid w:val="00814B64"/>
    <w:rsid w:val="00815616"/>
    <w:rsid w:val="00816E6B"/>
    <w:rsid w:val="0082095D"/>
    <w:rsid w:val="00824E40"/>
    <w:rsid w:val="0082602A"/>
    <w:rsid w:val="00835301"/>
    <w:rsid w:val="00837201"/>
    <w:rsid w:val="00840099"/>
    <w:rsid w:val="0084288B"/>
    <w:rsid w:val="00847955"/>
    <w:rsid w:val="00853F36"/>
    <w:rsid w:val="00856C70"/>
    <w:rsid w:val="008576BA"/>
    <w:rsid w:val="00860E2B"/>
    <w:rsid w:val="00862546"/>
    <w:rsid w:val="00862F66"/>
    <w:rsid w:val="00864CD7"/>
    <w:rsid w:val="0086688D"/>
    <w:rsid w:val="00872DA7"/>
    <w:rsid w:val="00875100"/>
    <w:rsid w:val="00881B8B"/>
    <w:rsid w:val="00882F05"/>
    <w:rsid w:val="00883235"/>
    <w:rsid w:val="008834C6"/>
    <w:rsid w:val="0088659C"/>
    <w:rsid w:val="00887742"/>
    <w:rsid w:val="00887DD9"/>
    <w:rsid w:val="00891F42"/>
    <w:rsid w:val="00894F7C"/>
    <w:rsid w:val="00896DDB"/>
    <w:rsid w:val="00897511"/>
    <w:rsid w:val="008A2028"/>
    <w:rsid w:val="008A25C5"/>
    <w:rsid w:val="008A36B8"/>
    <w:rsid w:val="008B1190"/>
    <w:rsid w:val="008B22F9"/>
    <w:rsid w:val="008C5856"/>
    <w:rsid w:val="008D0F61"/>
    <w:rsid w:val="008E43B8"/>
    <w:rsid w:val="008F0A78"/>
    <w:rsid w:val="008F62B8"/>
    <w:rsid w:val="008F6A2B"/>
    <w:rsid w:val="008F6E94"/>
    <w:rsid w:val="00907540"/>
    <w:rsid w:val="00912AFC"/>
    <w:rsid w:val="00912C97"/>
    <w:rsid w:val="00916808"/>
    <w:rsid w:val="00924889"/>
    <w:rsid w:val="00926746"/>
    <w:rsid w:val="009321C4"/>
    <w:rsid w:val="0093226A"/>
    <w:rsid w:val="009322A7"/>
    <w:rsid w:val="00933A63"/>
    <w:rsid w:val="00935A80"/>
    <w:rsid w:val="009374A9"/>
    <w:rsid w:val="00941411"/>
    <w:rsid w:val="00942AE8"/>
    <w:rsid w:val="009432BC"/>
    <w:rsid w:val="00947006"/>
    <w:rsid w:val="009509D9"/>
    <w:rsid w:val="0095173C"/>
    <w:rsid w:val="00957B48"/>
    <w:rsid w:val="009601A9"/>
    <w:rsid w:val="00964B77"/>
    <w:rsid w:val="0097191C"/>
    <w:rsid w:val="00974748"/>
    <w:rsid w:val="00981806"/>
    <w:rsid w:val="009818A2"/>
    <w:rsid w:val="00981DA8"/>
    <w:rsid w:val="009845D1"/>
    <w:rsid w:val="00985540"/>
    <w:rsid w:val="009859BE"/>
    <w:rsid w:val="009867FB"/>
    <w:rsid w:val="009873AB"/>
    <w:rsid w:val="00994B18"/>
    <w:rsid w:val="009A2834"/>
    <w:rsid w:val="009A4FDB"/>
    <w:rsid w:val="009A5998"/>
    <w:rsid w:val="009B04A3"/>
    <w:rsid w:val="009B124C"/>
    <w:rsid w:val="009B6A4F"/>
    <w:rsid w:val="009D2191"/>
    <w:rsid w:val="009E3109"/>
    <w:rsid w:val="009E346F"/>
    <w:rsid w:val="009E6889"/>
    <w:rsid w:val="009F1215"/>
    <w:rsid w:val="009F5428"/>
    <w:rsid w:val="00A01EA5"/>
    <w:rsid w:val="00A030BF"/>
    <w:rsid w:val="00A039BA"/>
    <w:rsid w:val="00A0478D"/>
    <w:rsid w:val="00A05F04"/>
    <w:rsid w:val="00A063E6"/>
    <w:rsid w:val="00A074EE"/>
    <w:rsid w:val="00A16BED"/>
    <w:rsid w:val="00A20337"/>
    <w:rsid w:val="00A23743"/>
    <w:rsid w:val="00A27CEA"/>
    <w:rsid w:val="00A3034C"/>
    <w:rsid w:val="00A30BDA"/>
    <w:rsid w:val="00A30EC6"/>
    <w:rsid w:val="00A319F1"/>
    <w:rsid w:val="00A32A82"/>
    <w:rsid w:val="00A36EC2"/>
    <w:rsid w:val="00A36FFC"/>
    <w:rsid w:val="00A543FC"/>
    <w:rsid w:val="00A614BF"/>
    <w:rsid w:val="00A63038"/>
    <w:rsid w:val="00A66CC3"/>
    <w:rsid w:val="00A72445"/>
    <w:rsid w:val="00A73FC1"/>
    <w:rsid w:val="00A75DB9"/>
    <w:rsid w:val="00A77588"/>
    <w:rsid w:val="00A80BF8"/>
    <w:rsid w:val="00A827B5"/>
    <w:rsid w:val="00A83EF3"/>
    <w:rsid w:val="00A915BE"/>
    <w:rsid w:val="00A979BB"/>
    <w:rsid w:val="00AC0658"/>
    <w:rsid w:val="00AC2372"/>
    <w:rsid w:val="00AC32AB"/>
    <w:rsid w:val="00AC3658"/>
    <w:rsid w:val="00AC4A6B"/>
    <w:rsid w:val="00AD056F"/>
    <w:rsid w:val="00AD099A"/>
    <w:rsid w:val="00AD50BD"/>
    <w:rsid w:val="00AD5DEB"/>
    <w:rsid w:val="00AD699D"/>
    <w:rsid w:val="00AE515A"/>
    <w:rsid w:val="00AE79E9"/>
    <w:rsid w:val="00AF29F7"/>
    <w:rsid w:val="00AF54AD"/>
    <w:rsid w:val="00B05E6F"/>
    <w:rsid w:val="00B06DFB"/>
    <w:rsid w:val="00B07A59"/>
    <w:rsid w:val="00B11B6D"/>
    <w:rsid w:val="00B239DE"/>
    <w:rsid w:val="00B23AA4"/>
    <w:rsid w:val="00B266A1"/>
    <w:rsid w:val="00B268FE"/>
    <w:rsid w:val="00B2694F"/>
    <w:rsid w:val="00B30CBD"/>
    <w:rsid w:val="00B37A78"/>
    <w:rsid w:val="00B50E9E"/>
    <w:rsid w:val="00B53877"/>
    <w:rsid w:val="00B543C1"/>
    <w:rsid w:val="00B545F5"/>
    <w:rsid w:val="00B566A5"/>
    <w:rsid w:val="00B56FE8"/>
    <w:rsid w:val="00B60476"/>
    <w:rsid w:val="00B6064D"/>
    <w:rsid w:val="00B6096A"/>
    <w:rsid w:val="00B65A78"/>
    <w:rsid w:val="00B70F92"/>
    <w:rsid w:val="00B718F9"/>
    <w:rsid w:val="00B73076"/>
    <w:rsid w:val="00B80708"/>
    <w:rsid w:val="00B8604F"/>
    <w:rsid w:val="00B92057"/>
    <w:rsid w:val="00B925E0"/>
    <w:rsid w:val="00B92867"/>
    <w:rsid w:val="00B933AD"/>
    <w:rsid w:val="00B93562"/>
    <w:rsid w:val="00B97C28"/>
    <w:rsid w:val="00BA0432"/>
    <w:rsid w:val="00BA0A51"/>
    <w:rsid w:val="00BA4638"/>
    <w:rsid w:val="00BA6838"/>
    <w:rsid w:val="00BA6DB9"/>
    <w:rsid w:val="00BB0915"/>
    <w:rsid w:val="00BB1678"/>
    <w:rsid w:val="00BB25A6"/>
    <w:rsid w:val="00BB5A11"/>
    <w:rsid w:val="00BB5C23"/>
    <w:rsid w:val="00BB67B7"/>
    <w:rsid w:val="00BC0C29"/>
    <w:rsid w:val="00BC5098"/>
    <w:rsid w:val="00BC70F9"/>
    <w:rsid w:val="00BD1E4E"/>
    <w:rsid w:val="00BD434E"/>
    <w:rsid w:val="00BD4D30"/>
    <w:rsid w:val="00BD7473"/>
    <w:rsid w:val="00BE0434"/>
    <w:rsid w:val="00BE0872"/>
    <w:rsid w:val="00BE193B"/>
    <w:rsid w:val="00BE2921"/>
    <w:rsid w:val="00BE3597"/>
    <w:rsid w:val="00BE43E3"/>
    <w:rsid w:val="00BF2F3B"/>
    <w:rsid w:val="00BF5A06"/>
    <w:rsid w:val="00BF66EC"/>
    <w:rsid w:val="00BF6A9A"/>
    <w:rsid w:val="00C00985"/>
    <w:rsid w:val="00C00AD7"/>
    <w:rsid w:val="00C05FC0"/>
    <w:rsid w:val="00C07245"/>
    <w:rsid w:val="00C1023A"/>
    <w:rsid w:val="00C1213D"/>
    <w:rsid w:val="00C162AB"/>
    <w:rsid w:val="00C21E65"/>
    <w:rsid w:val="00C24B17"/>
    <w:rsid w:val="00C24CF5"/>
    <w:rsid w:val="00C265ED"/>
    <w:rsid w:val="00C34E08"/>
    <w:rsid w:val="00C3734F"/>
    <w:rsid w:val="00C37874"/>
    <w:rsid w:val="00C42184"/>
    <w:rsid w:val="00C474FD"/>
    <w:rsid w:val="00C517E8"/>
    <w:rsid w:val="00C54E21"/>
    <w:rsid w:val="00C55AB2"/>
    <w:rsid w:val="00C56507"/>
    <w:rsid w:val="00C610B4"/>
    <w:rsid w:val="00C64930"/>
    <w:rsid w:val="00C65DF2"/>
    <w:rsid w:val="00C66BD6"/>
    <w:rsid w:val="00C71300"/>
    <w:rsid w:val="00C72A24"/>
    <w:rsid w:val="00C73579"/>
    <w:rsid w:val="00C767B8"/>
    <w:rsid w:val="00C77737"/>
    <w:rsid w:val="00C876C6"/>
    <w:rsid w:val="00C94E4F"/>
    <w:rsid w:val="00C951D2"/>
    <w:rsid w:val="00C9579A"/>
    <w:rsid w:val="00CA63D2"/>
    <w:rsid w:val="00CA6DFF"/>
    <w:rsid w:val="00CA7C35"/>
    <w:rsid w:val="00CB0F39"/>
    <w:rsid w:val="00CB203B"/>
    <w:rsid w:val="00CB2BA8"/>
    <w:rsid w:val="00CB60A9"/>
    <w:rsid w:val="00CC66CA"/>
    <w:rsid w:val="00CC7F01"/>
    <w:rsid w:val="00CD1BAA"/>
    <w:rsid w:val="00CD2787"/>
    <w:rsid w:val="00CD409B"/>
    <w:rsid w:val="00CD5083"/>
    <w:rsid w:val="00CD5D35"/>
    <w:rsid w:val="00CD7B23"/>
    <w:rsid w:val="00CE2BCC"/>
    <w:rsid w:val="00CE2C20"/>
    <w:rsid w:val="00CE645D"/>
    <w:rsid w:val="00CF073F"/>
    <w:rsid w:val="00D02C6D"/>
    <w:rsid w:val="00D0345C"/>
    <w:rsid w:val="00D03A6A"/>
    <w:rsid w:val="00D0409D"/>
    <w:rsid w:val="00D1309A"/>
    <w:rsid w:val="00D136C0"/>
    <w:rsid w:val="00D23165"/>
    <w:rsid w:val="00D266D8"/>
    <w:rsid w:val="00D303D8"/>
    <w:rsid w:val="00D331E3"/>
    <w:rsid w:val="00D34DF9"/>
    <w:rsid w:val="00D3609B"/>
    <w:rsid w:val="00D36AF8"/>
    <w:rsid w:val="00D37492"/>
    <w:rsid w:val="00D37B65"/>
    <w:rsid w:val="00D4076D"/>
    <w:rsid w:val="00D43A80"/>
    <w:rsid w:val="00D43A88"/>
    <w:rsid w:val="00D443B0"/>
    <w:rsid w:val="00D45A3B"/>
    <w:rsid w:val="00D46B5A"/>
    <w:rsid w:val="00D52126"/>
    <w:rsid w:val="00D525F1"/>
    <w:rsid w:val="00D55E2F"/>
    <w:rsid w:val="00D55E3A"/>
    <w:rsid w:val="00D65F8D"/>
    <w:rsid w:val="00D67F94"/>
    <w:rsid w:val="00D70D1B"/>
    <w:rsid w:val="00D83302"/>
    <w:rsid w:val="00D85DE1"/>
    <w:rsid w:val="00D8705C"/>
    <w:rsid w:val="00D9301B"/>
    <w:rsid w:val="00D95495"/>
    <w:rsid w:val="00D954E3"/>
    <w:rsid w:val="00D96D85"/>
    <w:rsid w:val="00DA55C1"/>
    <w:rsid w:val="00DA6448"/>
    <w:rsid w:val="00DA7F6A"/>
    <w:rsid w:val="00DB1F0C"/>
    <w:rsid w:val="00DB3B5E"/>
    <w:rsid w:val="00DB675E"/>
    <w:rsid w:val="00DB7AE8"/>
    <w:rsid w:val="00DC1205"/>
    <w:rsid w:val="00DC28D7"/>
    <w:rsid w:val="00DC2B3A"/>
    <w:rsid w:val="00DC434C"/>
    <w:rsid w:val="00DC63EF"/>
    <w:rsid w:val="00DC7085"/>
    <w:rsid w:val="00DD0300"/>
    <w:rsid w:val="00DD1F96"/>
    <w:rsid w:val="00DD4808"/>
    <w:rsid w:val="00DD64C8"/>
    <w:rsid w:val="00DD74AC"/>
    <w:rsid w:val="00DE2150"/>
    <w:rsid w:val="00DF05F4"/>
    <w:rsid w:val="00DF296B"/>
    <w:rsid w:val="00DF5FEE"/>
    <w:rsid w:val="00E01EA0"/>
    <w:rsid w:val="00E049CF"/>
    <w:rsid w:val="00E11579"/>
    <w:rsid w:val="00E131CA"/>
    <w:rsid w:val="00E13DD6"/>
    <w:rsid w:val="00E14017"/>
    <w:rsid w:val="00E1620C"/>
    <w:rsid w:val="00E2304A"/>
    <w:rsid w:val="00E276B7"/>
    <w:rsid w:val="00E27766"/>
    <w:rsid w:val="00E300AF"/>
    <w:rsid w:val="00E30FC2"/>
    <w:rsid w:val="00E33AD0"/>
    <w:rsid w:val="00E33D36"/>
    <w:rsid w:val="00E34E05"/>
    <w:rsid w:val="00E3590F"/>
    <w:rsid w:val="00E546DF"/>
    <w:rsid w:val="00E554EA"/>
    <w:rsid w:val="00E663F2"/>
    <w:rsid w:val="00E7310B"/>
    <w:rsid w:val="00E7589C"/>
    <w:rsid w:val="00E7792B"/>
    <w:rsid w:val="00E801DC"/>
    <w:rsid w:val="00E81134"/>
    <w:rsid w:val="00E839FB"/>
    <w:rsid w:val="00E86F3A"/>
    <w:rsid w:val="00E97E94"/>
    <w:rsid w:val="00EA2E1D"/>
    <w:rsid w:val="00EA6AEB"/>
    <w:rsid w:val="00EA7F98"/>
    <w:rsid w:val="00EB0494"/>
    <w:rsid w:val="00EB1D27"/>
    <w:rsid w:val="00EB54A2"/>
    <w:rsid w:val="00EB5AA1"/>
    <w:rsid w:val="00EC2D43"/>
    <w:rsid w:val="00ED0C97"/>
    <w:rsid w:val="00ED113D"/>
    <w:rsid w:val="00ED7325"/>
    <w:rsid w:val="00EF4287"/>
    <w:rsid w:val="00EF5597"/>
    <w:rsid w:val="00F01998"/>
    <w:rsid w:val="00F026F2"/>
    <w:rsid w:val="00F04B4C"/>
    <w:rsid w:val="00F06CDD"/>
    <w:rsid w:val="00F10608"/>
    <w:rsid w:val="00F16440"/>
    <w:rsid w:val="00F16883"/>
    <w:rsid w:val="00F1704E"/>
    <w:rsid w:val="00F218C1"/>
    <w:rsid w:val="00F230F5"/>
    <w:rsid w:val="00F239FD"/>
    <w:rsid w:val="00F244CC"/>
    <w:rsid w:val="00F2750F"/>
    <w:rsid w:val="00F31A34"/>
    <w:rsid w:val="00F31E09"/>
    <w:rsid w:val="00F42539"/>
    <w:rsid w:val="00F4302D"/>
    <w:rsid w:val="00F43147"/>
    <w:rsid w:val="00F432CB"/>
    <w:rsid w:val="00F50727"/>
    <w:rsid w:val="00F51DB7"/>
    <w:rsid w:val="00F54B12"/>
    <w:rsid w:val="00F62758"/>
    <w:rsid w:val="00F62AE8"/>
    <w:rsid w:val="00F654A7"/>
    <w:rsid w:val="00F751DE"/>
    <w:rsid w:val="00F7673F"/>
    <w:rsid w:val="00F76804"/>
    <w:rsid w:val="00F80415"/>
    <w:rsid w:val="00F8102A"/>
    <w:rsid w:val="00F84CBB"/>
    <w:rsid w:val="00F87406"/>
    <w:rsid w:val="00F87FC8"/>
    <w:rsid w:val="00F91A6A"/>
    <w:rsid w:val="00FA009F"/>
    <w:rsid w:val="00FA4291"/>
    <w:rsid w:val="00FA5391"/>
    <w:rsid w:val="00FA6CF4"/>
    <w:rsid w:val="00FB0BE8"/>
    <w:rsid w:val="00FC14E5"/>
    <w:rsid w:val="00FC1B3B"/>
    <w:rsid w:val="00FC5219"/>
    <w:rsid w:val="00FD1EEA"/>
    <w:rsid w:val="00FD778E"/>
    <w:rsid w:val="00FE3045"/>
    <w:rsid w:val="00FE5AEB"/>
    <w:rsid w:val="00FF109A"/>
    <w:rsid w:val="00FF27E7"/>
    <w:rsid w:val="00FF538B"/>
    <w:rsid w:val="00FF7F38"/>
    <w:rsid w:val="01012346"/>
    <w:rsid w:val="039C5442"/>
    <w:rsid w:val="050A1096"/>
    <w:rsid w:val="06CD63E1"/>
    <w:rsid w:val="072355C3"/>
    <w:rsid w:val="08AD6316"/>
    <w:rsid w:val="09836607"/>
    <w:rsid w:val="09FD05EE"/>
    <w:rsid w:val="0A033A7B"/>
    <w:rsid w:val="0BD31B10"/>
    <w:rsid w:val="0C56381E"/>
    <w:rsid w:val="0E5205CA"/>
    <w:rsid w:val="0F6B0AEA"/>
    <w:rsid w:val="10126192"/>
    <w:rsid w:val="1097590F"/>
    <w:rsid w:val="130F25E7"/>
    <w:rsid w:val="14EE3786"/>
    <w:rsid w:val="15B13D22"/>
    <w:rsid w:val="17043806"/>
    <w:rsid w:val="18BE43D8"/>
    <w:rsid w:val="1D030F2C"/>
    <w:rsid w:val="1D1D63D2"/>
    <w:rsid w:val="20990887"/>
    <w:rsid w:val="26BB03D1"/>
    <w:rsid w:val="27695E37"/>
    <w:rsid w:val="29736AC1"/>
    <w:rsid w:val="29A422D6"/>
    <w:rsid w:val="29B84F82"/>
    <w:rsid w:val="2C5F4402"/>
    <w:rsid w:val="2D1C439D"/>
    <w:rsid w:val="2DC91521"/>
    <w:rsid w:val="2E1346E9"/>
    <w:rsid w:val="31293DB3"/>
    <w:rsid w:val="35934571"/>
    <w:rsid w:val="35B3402E"/>
    <w:rsid w:val="3C125245"/>
    <w:rsid w:val="3CE758E8"/>
    <w:rsid w:val="3D8512D2"/>
    <w:rsid w:val="3F6B3D19"/>
    <w:rsid w:val="403315B9"/>
    <w:rsid w:val="42A233A0"/>
    <w:rsid w:val="432A1241"/>
    <w:rsid w:val="45E4196F"/>
    <w:rsid w:val="46BF5584"/>
    <w:rsid w:val="46C4582D"/>
    <w:rsid w:val="46D92D40"/>
    <w:rsid w:val="485C36A3"/>
    <w:rsid w:val="48BC38E9"/>
    <w:rsid w:val="4A7F05E8"/>
    <w:rsid w:val="4CAF1A5D"/>
    <w:rsid w:val="524B2A87"/>
    <w:rsid w:val="52B4142D"/>
    <w:rsid w:val="53103D1B"/>
    <w:rsid w:val="575B57D8"/>
    <w:rsid w:val="592B5B5A"/>
    <w:rsid w:val="5BF925A6"/>
    <w:rsid w:val="5FE84347"/>
    <w:rsid w:val="61537013"/>
    <w:rsid w:val="662B4291"/>
    <w:rsid w:val="66362EBA"/>
    <w:rsid w:val="667C039E"/>
    <w:rsid w:val="67E20F81"/>
    <w:rsid w:val="697119CE"/>
    <w:rsid w:val="6A660130"/>
    <w:rsid w:val="6B0842AE"/>
    <w:rsid w:val="6BE109BA"/>
    <w:rsid w:val="6D111A8B"/>
    <w:rsid w:val="6FAD0E48"/>
    <w:rsid w:val="73807EBE"/>
    <w:rsid w:val="744651AE"/>
    <w:rsid w:val="76F96693"/>
    <w:rsid w:val="78D37FAF"/>
    <w:rsid w:val="792C5834"/>
    <w:rsid w:val="799D05BD"/>
    <w:rsid w:val="7BCB3631"/>
    <w:rsid w:val="7C3A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eastAsia="Times New Roman" w:cs="Arial"/>
      <w:b/>
      <w:bCs/>
      <w:color w:val="000080"/>
      <w:sz w:val="24"/>
      <w:szCs w:val="24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"/>
    <w:basedOn w:val="1"/>
    <w:link w:val="14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>
    <w:name w:val="Body Text Indent 2"/>
    <w:basedOn w:val="1"/>
    <w:link w:val="17"/>
    <w:unhideWhenUsed/>
    <w:qFormat/>
    <w:uiPriority w:val="99"/>
    <w:pPr>
      <w:spacing w:after="120" w:line="480" w:lineRule="auto"/>
      <w:ind w:left="283"/>
    </w:pPr>
  </w:style>
  <w:style w:type="table" w:styleId="12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Основной текст Знак"/>
    <w:basedOn w:val="3"/>
    <w:link w:val="8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Заголовок 1 Знак"/>
    <w:basedOn w:val="3"/>
    <w:link w:val="2"/>
    <w:qFormat/>
    <w:uiPriority w:val="0"/>
    <w:rPr>
      <w:rFonts w:ascii="Arial" w:hAnsi="Arial" w:eastAsia="Times New Roman" w:cs="Arial"/>
      <w:b/>
      <w:bCs/>
      <w:color w:val="000080"/>
      <w:sz w:val="24"/>
      <w:szCs w:val="24"/>
      <w:lang w:eastAsia="ru-RU"/>
    </w:rPr>
  </w:style>
  <w:style w:type="character" w:customStyle="1" w:styleId="17">
    <w:name w:val="Основной текст с отступом 2 Знак"/>
    <w:basedOn w:val="3"/>
    <w:link w:val="11"/>
    <w:qFormat/>
    <w:uiPriority w:val="99"/>
  </w:style>
  <w:style w:type="paragraph" w:customStyle="1" w:styleId="18">
    <w:name w:val="ConsPlusNormal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sz w:val="28"/>
      <w:szCs w:val="28"/>
      <w:lang w:val="ru-RU" w:eastAsia="en-US" w:bidi="ar-SA"/>
    </w:rPr>
  </w:style>
  <w:style w:type="character" w:customStyle="1" w:styleId="19">
    <w:name w:val="Верхний колонтитул Знак"/>
    <w:basedOn w:val="3"/>
    <w:link w:val="7"/>
    <w:qFormat/>
    <w:uiPriority w:val="99"/>
  </w:style>
  <w:style w:type="character" w:customStyle="1" w:styleId="20">
    <w:name w:val="Нижний колонтитул Знак"/>
    <w:basedOn w:val="3"/>
    <w:link w:val="9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C0584-1498-4E3E-936E-BA6ACB0B71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4971</Words>
  <Characters>28336</Characters>
  <Lines>236</Lines>
  <Paragraphs>66</Paragraphs>
  <TotalTime>7</TotalTime>
  <ScaleCrop>false</ScaleCrop>
  <LinksUpToDate>false</LinksUpToDate>
  <CharactersWithSpaces>33241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2023-04-13T06:42:00Z</dcterms:created>
  <dc:creator>KSP1</dc:creator>
  <cp:lastModifiedBy>WPS_1698754307</cp:lastModifiedBy>
  <cp:lastPrinted>2024-04-22T05:41:00Z</cp:lastPrinted>
  <dcterms:modified xsi:type="dcterms:W3CDTF">2024-04-22T05:53:02Z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5026ED70E8044514A5A65CD8184D6466</vt:lpwstr>
  </property>
</Properties>
</file>