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РАЙОН»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Волгоградская ул., д.141, г. Ахтубинск, Астраханская обл.,416500, Тел.(8-85141) 4-04-24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 - Совет муниципального образования «Ахтубинский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муниципальный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                                                                                                                 №З-11/202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(далее - КСП МО «Ахтубинский район»)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Председатель – Архипов В.И.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Ведущий бухгалтер – Султангалиева Р.Н.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внешней проверки являются: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15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год, проведённой в соответствии с: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Бюджетным кодексом Российской Федерации (далее – БК РФ);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 (далее - Инструкция №191н);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"Об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№157н);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"Об утверждении Плана счетов бюджетного учёта и Инструкции по его применению" (далее – Инструкция №162н).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31.12.2016 №257н "Об утверждении федерального стандарта бухгалтерского учета для организаций государственного сектора "Основные средства" (далее - Приказ от 31.12.2016 №257н).</w:t>
      </w:r>
    </w:p>
    <w:p>
      <w:pPr>
        <w:pStyle w:val="15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)далее - Приказ от 15.04.2021 №61н).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15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Полное наименование: Совет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 - Совет).</w:t>
      </w: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4-04-15, 4-04-16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sovet.mo.ahtubinskij.raion@yandex.ru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3001039870 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Совету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 лицевой счет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действующий в проверяемом периоде и на момент проверки: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03960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ПБС</w:t>
            </w:r>
          </w:p>
        </w:tc>
      </w:tr>
    </w:tbl>
    <w:p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Совета в проверяемом периоде являлись с правом: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>
      <w:pPr>
        <w:pStyle w:val="10"/>
        <w:spacing w:before="0" w:beforeAutospacing="0" w:afterAutospacing="0"/>
        <w:jc w:val="both"/>
      </w:pPr>
      <w:r>
        <w:t>- Председатель Совета муниципального образования «Ахтубинский район» - Архипов Вячеслав Иванович назначен на должность с 30.09.2019г. по настоящее время (Решение Совета МО «Ахтубинский район» от 30.09.2019 г. №1);</w:t>
      </w:r>
    </w:p>
    <w:p>
      <w:pPr>
        <w:pStyle w:val="10"/>
        <w:spacing w:before="0" w:beforeAutospacing="0" w:afterAutospacing="0"/>
        <w:jc w:val="both"/>
      </w:pPr>
      <w:r>
        <w:t>- Заместитель председателя Совета муниципального образования «Ахтубинский район» - Ковалёв Владимир Иванович назначен на должность с 28.10.2021г. по настоящее время (Решение Совета МО «Ахтубинский район» от 28.10.2021 г. №215);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>
      <w:pPr>
        <w:pStyle w:val="10"/>
        <w:spacing w:before="0" w:beforeAutospacing="0" w:afterAutospacing="0"/>
        <w:jc w:val="both"/>
      </w:pPr>
      <w:r>
        <w:t>- Ведущий бухгалтер - Султангалиева Руфина Николаевна назначена на должность 19.12.2019 г. по настоящее время (Распоряжение Совета МО «Ахтубинский район» от 19.12.2019 г. №22 л/с.).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за 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год сформирована на 01.01.202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и представлена в финансовый орган до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г., что соответствует сроку, установленному приказом Финансового управления администрации МО «Ахтубинский район» от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19.12.2023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№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164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-С.</w:t>
      </w:r>
    </w:p>
    <w:p>
      <w:pPr>
        <w:pStyle w:val="10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</w:t>
      </w:r>
      <w:r>
        <w:rPr>
          <w:rFonts w:hint="default"/>
          <w:lang w:val="ru-RU" w:eastAsia="zh-CN"/>
        </w:rPr>
        <w:t>3</w:t>
      </w:r>
      <w:r>
        <w:rPr>
          <w:lang w:eastAsia="zh-CN"/>
        </w:rPr>
        <w:t xml:space="preserve"> год – 20.03.202</w:t>
      </w:r>
      <w:r>
        <w:rPr>
          <w:rFonts w:hint="default"/>
          <w:lang w:val="ru-RU" w:eastAsia="zh-CN"/>
        </w:rPr>
        <w:t>4</w:t>
      </w:r>
      <w:r>
        <w:rPr>
          <w:lang w:eastAsia="zh-CN"/>
        </w:rPr>
        <w:t>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год направлена в адрес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КСП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МО «Ахтубинский район» в соответствии с установленными сроками (статья 264.4 БК РФ), (письмо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.03.202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г. исх.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69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23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Нулевое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(ПБС)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ф.0503160 представлены следующие таблицы и приложения: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 движении нефинансовых активов ф.0503168;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по дебиторской и кредиторской задолженности ф.0503169;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Сведения о принятых и неисполненных обязательствах получателя бюджетных средств ф.0503175;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Дополнительно предоставлена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Главная книга за 202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год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 и таблица №16 «Прочие вопросы деятельности субъекта бюджетной отчётности»</w:t>
      </w:r>
      <w:r>
        <w:rPr>
          <w:rFonts w:ascii="Times New Roman" w:hAnsi="Times New Roman"/>
          <w:bCs/>
          <w:sz w:val="24"/>
          <w:szCs w:val="24"/>
          <w:highlight w:val="none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 форм бюджетной отчётности, не имеющих числового значения) и подписана усиленной квалифицированной электронной подписью.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п.7 Инструкции </w:t>
      </w:r>
      <w:r>
        <w:rPr>
          <w:rFonts w:ascii="Times New Roman" w:hAnsi="Times New Roman" w:cs="Times New Roman"/>
          <w:sz w:val="24"/>
          <w:szCs w:val="24"/>
        </w:rPr>
        <w:t xml:space="preserve">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 рамках формирования его учётной политики. По данным раздела 5 пояснительной записки (ф.0503160) в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</w:rPr>
        <w:t>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0С00-000001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проведена инвентаризация основных средств и материальных ценностей.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утверждён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ок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Порядком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жетные ассигнования по расходам на 2023 год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МО «Ахтубинский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№2 (рублей)</w:t>
      </w:r>
    </w:p>
    <w:tbl>
      <w:tblPr>
        <w:tblStyle w:val="1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830"/>
        <w:gridCol w:w="1650"/>
        <w:gridCol w:w="1842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ind w:left="-66" w:right="-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Раздел/ подраздел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Решением Совета от 28.12.2023 №404 на 2023 год</w:t>
            </w:r>
          </w:p>
        </w:tc>
        <w:tc>
          <w:tcPr>
            <w:tcW w:w="18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2222975,62</w:t>
            </w:r>
          </w:p>
        </w:tc>
        <w:tc>
          <w:tcPr>
            <w:tcW w:w="18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2222975,62</w:t>
            </w:r>
          </w:p>
        </w:tc>
        <w:tc>
          <w:tcPr>
            <w:tcW w:w="1278" w:type="dxa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0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123" w:type="dxa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0103</w:t>
            </w:r>
          </w:p>
        </w:tc>
        <w:tc>
          <w:tcPr>
            <w:tcW w:w="3830" w:type="dxa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2222975,62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2222975,62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,00</w:t>
            </w:r>
          </w:p>
        </w:tc>
      </w:tr>
    </w:tbl>
    <w:p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Совет не является администратором доходов. Расходы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2150760,52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2222975,62 </w:t>
      </w:r>
      <w:r>
        <w:rPr>
          <w:rFonts w:ascii="Times New Roman" w:hAnsi="Times New Roman" w:cs="Times New Roman"/>
          <w:sz w:val="24"/>
          <w:szCs w:val="24"/>
          <w:lang w:eastAsia="zh-CN"/>
        </w:rPr>
        <w:t>руб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  <w:r>
        <w:rPr>
          <w:rFonts w:ascii="Times New Roman" w:hAnsi="Times New Roman" w:cs="Times New Roman"/>
          <w:sz w:val="24"/>
          <w:szCs w:val="24"/>
          <w:lang w:eastAsia="zh-CN"/>
        </w:rPr>
        <w:t>, исполнение составило 9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6,75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Справка по заключению счетов бюджетного учёта отчётного финансового года (ф.0503110)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(графы 2,3) и в сумме заключительных операций по закрытию счетов, произведённых по завершении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(графы 4-7). Данные показателей ф.0503110 сопоставимы с данными форм 0503121.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Отчёт о финансовых результатах деятельности (ф.0503121)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403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деятельность, руб. 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2199673,67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Чистый операционный результат (стр.3+стр.4)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-2199673,67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-57347,92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финансовыми активами и обязательствами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-2142325,75</w:t>
            </w:r>
          </w:p>
        </w:tc>
      </w:tr>
    </w:tbl>
    <w:p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показателей ф.0503121 сопоставимы с данными форм 0503110.</w:t>
      </w: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Отчёт о движении денежных средств (ф.0503123)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п.146 Инструкции №191н отчёт содержит данные о движении денежных средств в кассе, на счёте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highlight w:val="none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отчёта ф.0503123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"consultantplus://offline/ref=827AC9A5E62DFDDB7D04897F3119B8BA47CEE20C384A92A7311A1AF96C7C502A7D3D2E439D81FE5269D41AE7A2C3C7E592C86EE01B76D2wAEEL"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5010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"consultantplus://offline/ref=827AC9A5E62DFDDB7D04897F3119B8BA47CEE20C384A92A7311A1AF96C7C502A7D3D2E439D81FE5169D41AE7A2C3C7E592C86EE01B76D2wAEEL"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5020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 вычетом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"consultantplus://offline/ref=827AC9A5E62DFDDB7D04897F3119B8BA47CEE20C384A92A7311A1AF96C7C502A7D3D2E439D8EF85A69D41AE7A2C3C7E592C86EE01B76D2wAEEL"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строки 4400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суммы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"consultantplus://offline/ref=827AC9A5E62DFDDB7D04897F3119B8BA47CEE20C384A92A7311A1AF96C7C502A7D3D2E439D8EF65469D41AE7A2C3C7E592C86EE01B76D2wAEEL"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4610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"consultantplus://offline/ref=827AC9A5E62DFDDB7D04897F3119B8BA47CEE20C384A92A7311A1AF96C7C502A7D3D2E439D8EF65B69D41AE7A2C3C7E592C86EE01B76D2wAEEL"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4620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отчёта (ф. 0503123) равняется сумме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"consultantplus://offline/ref=827AC9A5E62DFDDB7D04897F3119B8BA47CEE20C384A92A7311A1AF96C7C502A7D3D2E43998BFD5A608B1FF2B39BCBE58DD66AFA0774D0AFw8EDL"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700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"consultantplus://offline/ref=827AC9A5E62DFDDB7D04897F3119B8BA47CEE20C384A92A7311A1AF96C7C502A7D3D2E43998BFD5A6B8B1FF2B39BCBE58DD66AFA0774D0AFw8EDL"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810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граф 5 и 6 отчёта (ф. 0503127) без учёта остатков в кассе.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Статьёй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силу требований, установленных статьёй 162 БК РФ, получатель бюджетных средств обеспечивает результативность использования предусмотренных ему бюджетных ассигнований.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125,00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 рублей.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highlight w:val="yellow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п.10.9.2 Порядка №209н на подстатью </w:t>
      </w:r>
      <w:r>
        <w:rPr>
          <w:rFonts w:ascii="Times New Roman" w:hAnsi="Times New Roman"/>
          <w:sz w:val="24"/>
          <w:szCs w:val="24"/>
          <w:highlight w:val="none"/>
        </w:rPr>
        <w:t>292 КОСГУ "Штрафы за нарушение законодательства о налогах и сборах, законодательства о страховых взносах"  относятся расходы по уплате штрафов, пеней за несвоевременную уплату налогов, сборов, страховых взносов, а также за нарушение законодательства Российской Федерации о налогах и сборах, законодательства Российской Федерации о страховых взносах.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произведены расходы по уплате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штрафа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за несвоевременную сдачу декларации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размере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125</w:t>
      </w:r>
      <w:r>
        <w:rPr>
          <w:rFonts w:ascii="Times New Roman" w:hAnsi="Times New Roman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отнесены на подстатью 291 КОСГУ "Налоги, пошлины и сборы" с увязкой КВР 853 "Уплата иных платежей".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В нарушение п.10.9.2 Порядка №209н расходы по уплате штрафа отнесены на неверную подстатью КОСГУ.</w:t>
      </w:r>
    </w:p>
    <w:p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Справка по консолидируемым расчётам (ф.0503125)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Отчёт ф.0503125 </w:t>
      </w:r>
      <w:r>
        <w:rPr>
          <w:rFonts w:ascii="Times New Roman" w:hAnsi="Times New Roman"/>
          <w:sz w:val="24"/>
          <w:szCs w:val="24"/>
        </w:rPr>
        <w:t>не включён в состав бюджетной отчётности за отчётный период согласно абзацу 1 пункта 8 Инструкции №191н, ввиду отсутствия числовых значений показателей.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п.п.52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 строке 500 раздела "Источники финансирования дефицита бюджета"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отчёта ф.0503127 сопоставимы с показателями отчёта ф.0503123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граф 4, 5 и 9 разд. 2 и 3 отчёта ф.0503127 сопоставимы с показателями граф 4, 5 и 10 разд. 1 и 2 отчёта ф.0503128 соответственно.</w:t>
      </w:r>
    </w:p>
    <w:p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расходов, отражённая в Отчёте (ф.0503127) по разделу «Расходы бюджета - всего» в графе 6 «Исполнено, через финансовые органы»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2150760,52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соответствует данным по соответствующим счетам счета 130405000 «Расчеты по платежам из бюджета с финансовым органом» в главной книге за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п.59.1 Инструкции №191н сформирована дополнительная ф.0503127,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 Отчёт о бюджетных обязательствах (ф.0503128)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составлен на основании данных о принятых и исполненных бюджетных обязательствах и представлен по состоянию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(п.п.68, 69 Инструкции №191н). Отчёт заполнен в порядке, приведённом в п.п.70,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разделу 1 «Бюджетные обязательства текущего (отчетного)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Бюджетные ассигнования по расходам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2222975,62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утверждённые Приказом Финансового управления МО «Ахтубинский район» от 29.12.2023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г. №176-С «Об утверждении сводной бюджетной росписи бюджета муниципального образования «Ахтубинский муниципальный район Астраханской области» на 2023 год и плановый период 2024 и 2025 годов» соответствуют гр. 4, 5 раздела 1 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"consultantplus://offline/ref=4D973BE1B9845E6C6757B7A303DB4D29A2999F46B219EB80A89B45DBBAE6BD776605CB2664E1C3F48DD924C9E97291BBF162BF4D5395BDk764J"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Бюджетные обязательства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текущего (отчётного) финансового года по расходам»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п.70.1 в целях формирования сводного Отчёта (ф.0503128) дополнительно сформирован отчёт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>
      <w:pPr>
        <w:spacing w:after="120" w:line="240" w:lineRule="auto"/>
        <w:ind w:firstLine="736" w:firstLineChars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не выявлено.</w:t>
      </w: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Баланс)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содержит данные о нефинансовых и финансовых активах, обязательствах на первый и последний день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отчётного периода (графы 6, 7,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строки 700 Баланса соответствуют идентичным показателям строки 350.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Баланса сформирована справка о наличии имущества и обязательств на забалансовых счетах на начало и конец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4.7.1. </w:t>
      </w:r>
      <w:r>
        <w:rPr>
          <w:rFonts w:ascii="Times New Roman" w:hAnsi="Times New Roman"/>
          <w:sz w:val="24"/>
          <w:szCs w:val="24"/>
        </w:rPr>
        <w:t xml:space="preserve">В соответствии с п.32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Приказа от 31.12.2016 №257н</w:t>
      </w:r>
      <w:r>
        <w:rPr>
          <w:rFonts w:ascii="Times New Roman" w:hAnsi="Times New Roman"/>
          <w:sz w:val="24"/>
          <w:szCs w:val="24"/>
        </w:rPr>
        <w:t xml:space="preserve"> стоимость объекта основных средств переносится на расходы (на уменьшение финансового результата) посредством равномерного начисления амортизации в течение срока его полезного использования. Сумма амортизации за каждый период признается в составе расходов текущего периода (относится на уменьшение финансового результата) за исключением случаев, когда она включена в стоимость другого актива.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В соответствии с п. 34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Приказа от 31.12.2016 №257н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мортизация объекта основных средств прекращается с 1-го числа месяца, следующего за месяцем прекращения признания (выбытия его из бухгалтерского учета), или с 1-го числа месяца, следующего за месяцем, в котором остаточная стоимость объекта основных средств стала равной нулю.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 основных средств на сч. 0101.34, числятся: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МФУ лазерный </w:t>
      </w:r>
      <w:r>
        <w:rPr>
          <w:rFonts w:ascii="Times New Roman" w:hAnsi="Times New Roman"/>
          <w:sz w:val="24"/>
          <w:szCs w:val="24"/>
          <w:lang w:val="en-US"/>
        </w:rPr>
        <w:t>CANONi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Sensys</w:t>
      </w:r>
      <w:r>
        <w:rPr>
          <w:rFonts w:ascii="Times New Roman" w:hAnsi="Times New Roman"/>
          <w:sz w:val="24"/>
          <w:szCs w:val="24"/>
        </w:rPr>
        <w:t xml:space="preserve"> (инв. номер 110134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002, дата принятия к учёту 26.02.2018 г.) балансовой стоимостью 24357,50 рублей;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Персональный компьютер в сборе (инв. номер 110134С003, дата принятия к учёту 24.12.2018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г.) балансовой стоимостью 54500,00 рублей. 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Срок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полезного действия оборудования составляет 5 лет, следовательно остаточная стоимость выше перечисленного оборудования на 01.01.2024 г. должна быть равной нулю.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Таким образом, в нарушение ст.13 ФЗ №402-ФЗ, п.7 Инструкции №191н, п.38 Инструкции №157н и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редставление бюджетной отчётности, содержащей незначительное искажение показателей бюджетной отчётности по состоянию на 01.01.202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общую с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умму 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17608,58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Контрольно-счетную </w:t>
      </w:r>
      <w:r>
        <w:rPr>
          <w:rFonts w:hint="default" w:ascii="Times New Roman" w:hAnsi="Times New Roman" w:eastAsia="SimSun"/>
          <w:color w:val="000000"/>
          <w:sz w:val="22"/>
          <w:szCs w:val="22"/>
          <w:highlight w:val="none"/>
          <w:lang w:val="ru-RU" w:eastAsia="zh-CN"/>
        </w:rPr>
        <w:t xml:space="preserve">палату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период проверки предоставлены Сведения об изменении валюты баланса (ф.0503173) на конец отчётного периода 2023 года с кодом причины 03 (исправление ошибок прошлых лет), произведена корректировка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суммы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амортизации основных средств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размере 17608,58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4.7.2. 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онтрольно-счетная палата отмечает,что в связи с вступлением в силу с 1 января 2023 года редакции Налогового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https://login.consultant.ru/link/?req=doc&amp;base=LAW&amp;n=454148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кодекса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Российской Федерации, предусматривающей новый порядок исполнения налоговых обязательств налогоплательщиками, плательщиками сбора, плательщиками страховых взносов, налоговыми агентами путём перечисления денежных средств в бюджетную систему Российской Федерации на счет Федерального казначейства в качестве единого налогового платежа (далее - ЕНП),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https://login.consultant.ru/link/?req=doc&amp;base=LAW&amp;n=436432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приказом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Министерства финансов Российской Федерации от 21 декабря 2022 г. N 192н «О внесении изменений в приказ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применению"(далее - Приказ N 192н) внесены изменения в Единый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https://login.consultant.ru/link/?req=doc&amp;base=LAW&amp;n=450185&amp;dst=520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план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счетов бухгалтерского учёта для органов государственной власти и Инструкцию N 157н).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едены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новые счета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(п.83 Приказа от 21.12.2022 г. №192н)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14 000 "Расчеты по единому налоговому платежу";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15 000 "Расчеты по единому страховому тарифу".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HYPERLINK https://login.consultant.ru/link/?req=doc&amp;base=LAW&amp;n=450185&amp;dst=11582 </w:instrTex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Счет 0 303 14 000</w:t>
      </w:r>
      <w:r>
        <w:rPr>
          <w:rFonts w:hint="default"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предназначен для перечисления в доход бюджета сумм налогов, сборов, страховых взносов и иных обязательных платежей,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162н,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Письмо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Минфина России от 14.09.2023 N 02-07-10/88219)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Счет 0 303 15 000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предназначен для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отраж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ения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расчет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ов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 страховым взносам на ОПС, ОМС и на случай В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НиМ, 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Уменьшение расчётов с бюджетом по единому страховому тарифу отражается на основании документа налогового органа о принадлежности сумм денежных средств (Письма Минфина России от 22.09.2023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https://login.consultant.ru/link/?req=doc&amp;base=QSBO&amp;n=24404&amp;dst=100010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02-06-10/90743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 от 14.09.2023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02-07-10/88219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целях корректного раскрытия в бюджетной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бухгалтерской отчетности информации о расчетах по налогам (сборам), уплачиваемым посредством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субъектам учета необходимо регулярно осуществлять сверку данных с налоговыми органами с учетом рекомендаций, доведенных Минфином России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письмом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</w:t>
      </w:r>
      <w:r>
        <w:rPr>
          <w:rFonts w:hint="default" w:ascii="Times New Roman" w:hAnsi="Times New Roman" w:eastAsia="Times New Roman"/>
          <w:sz w:val="24"/>
          <w:szCs w:val="24"/>
        </w:rPr>
        <w:t>т 30 июня 2023 г. N 02-07-07/60961.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В ходе проверки выявлено, что на 01.01.2024 г. у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меньшение расчётов с бюджетом по единому страховому тарифу произведено без сверки с налоговым органом.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709"/>
        <w:jc w:val="both"/>
        <w:textAlignment w:val="auto"/>
        <w:rPr>
          <w:rFonts w:hint="default" w:ascii="Times New Roman" w:hAnsi="Times New Roman" w:eastAsia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4"/>
          <w:szCs w:val="24"/>
          <w:lang w:val="ru-RU"/>
        </w:rPr>
        <w:t>Контрольно-счетная палата рекомендует в целях корректного раскрытия в бюджетной и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письмом от 30 июня 2023 г. N 02-07-07/60961.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4.8. Пояснительная записка (ф.0503160)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"Организационная структура субъекта бюджетной отчётности" содержит: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Сведения, характеризующие организационную структуру, о направлениях деятельности и нормативных документах, на основании которых составлена годовая отчётность.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«Сведения о направлениях деятельности» (Таблица №1) - </w:t>
      </w:r>
      <w:r>
        <w:rPr>
          <w:rFonts w:ascii="Times New Roman" w:hAnsi="Times New Roman"/>
          <w:sz w:val="24"/>
          <w:szCs w:val="24"/>
        </w:rPr>
        <w:t>не включён в состав бюджетной отчётности за отчётный период согласно абзацу 1 пункта 8 Инструкции №191н, ввиду отсутствия числовых значений показателей</w:t>
      </w:r>
      <w:r>
        <w:rPr>
          <w:rFonts w:hint="default" w:ascii="Times New Roman" w:hAnsi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«Сведения об организационной структуре субъекта бюджетной отчётности» (Таблица №11) - не предоставляется ГРБС, согласно п. 159.4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 "Результаты деятельности субъекта бюджетной отчётности":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Сведения о результатах деятельности субъекта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№12)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ГРБС, согласно п. 159.5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Представлена информация 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техническом оснащении, методах амортизации, материальных запасах 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нефинансовых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активах.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"Анализ отчёта об исполнении бюджета субъектом бюджетной отчётности" содержит: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текстовых статей закона (решения) о бюджете (Таблица №3)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не включён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в состав бюджетной отчётности за отчётный период согласно абзацу 1 пункта 8 Инструкции №191н, ввиду отсутствия числовых значений показателей</w:t>
      </w:r>
      <w:r>
        <w:rPr>
          <w:rFonts w:hint="default"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расходам -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96,75</w:t>
      </w:r>
      <w:r>
        <w:rPr>
          <w:rFonts w:ascii="Times New Roman" w:hAnsi="Times New Roman"/>
          <w:sz w:val="24"/>
          <w:szCs w:val="24"/>
          <w:highlight w:val="none"/>
        </w:rPr>
        <w:t xml:space="preserve">%.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мероприятий в рамках целевых программ (ф.0503166)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целевых иностранных кредитах (ф.0503167)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12"/>
          <w:szCs w:val="12"/>
          <w:highlight w:val="green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Анализ отчёта об исполнении бюджета субъектом бюджетной отчётности (Таблица №13) 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 Данные соответствуют показателям в графе 9 по соответствующим строкам раздела 1 "Доходы" ф.0503127. Замечаний не выявлено.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 "Анализ показателей бухгалтерской отчётности субъекта бюджетной отчётности":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п.166 Инструкции №191н к пояснительной записке приложена ф.0503168 и содержит обобщённые за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данные о движении нефинансовых активов. Стоимость нефинансовых активов по состоянию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г. и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г. составила в разрезе счетов бюджетного учёта: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0101.00 «Основные средства» -182638,60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182638,60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0104.00 «Амортизация» - 101944,10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165030,02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(устранение технической ошибки, начислена амортизация в сумме 63085,92 руб. за период с 2018 г. по 2022 г. по 2-м объектам основных средств). Амортизация по основным средствам за 2023 год в сумме 17608,58 руб., не начислялась. 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 нарушение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до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пущено 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>Сведения о движении нефинансовых активов»,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17608,58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17608,58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 рублей.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0105.00 «Материальные запасы» - 113892,85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119630,85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0111.6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Права пользования нематериальными активами» - 45800,00 руб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45800,00 руб.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 010 «Основные средства», 050 «Амортизация основных средств», 190 «Материальные запасы», 290 «Права пользования нематериальными активами», гр.4 «Наличие на начало года» и гр.11 «Наличие на конец года» сведений о движении нефинансовых активов соответствуют данным Баланса (ф.0503130).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i/>
          <w:iCs/>
          <w:sz w:val="24"/>
          <w:szCs w:val="24"/>
        </w:rPr>
        <w:t>доходам</w:t>
      </w:r>
      <w:r>
        <w:rPr>
          <w:rFonts w:ascii="Times New Roman" w:hAnsi="Times New Roman" w:cs="Times New Roman"/>
          <w:sz w:val="24"/>
          <w:szCs w:val="24"/>
        </w:rPr>
        <w:t xml:space="preserve"> 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г. отсутствует.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</w:t>
      </w:r>
      <w:r>
        <w:rPr>
          <w:rFonts w:ascii="Times New Roman" w:hAnsi="Times New Roman" w:cs="Times New Roman"/>
          <w:i/>
          <w:iCs/>
          <w:sz w:val="24"/>
          <w:szCs w:val="24"/>
        </w:rPr>
        <w:t>по выплатам</w:t>
      </w:r>
      <w:r>
        <w:rPr>
          <w:rFonts w:ascii="Times New Roman" w:hAnsi="Times New Roman" w:cs="Times New Roman"/>
          <w:sz w:val="24"/>
          <w:szCs w:val="24"/>
        </w:rPr>
        <w:t xml:space="preserve">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г. отсутствует.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просроченной дебиторской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Кредиторская задолженность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i/>
          <w:iCs/>
          <w:sz w:val="24"/>
          <w:szCs w:val="24"/>
        </w:rPr>
        <w:t>по выплатам</w:t>
      </w:r>
      <w:r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Кредиторская задолженность </w:t>
      </w:r>
      <w:r>
        <w:rPr>
          <w:rFonts w:ascii="Times New Roman" w:hAnsi="Times New Roman" w:cs="Times New Roman"/>
          <w:i/>
          <w:iCs/>
          <w:sz w:val="24"/>
          <w:szCs w:val="24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 xml:space="preserve"> на 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отсутствует.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просроченной кредиторской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Резервы предстоящих расходов сч.1.401.60 -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210477,00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стр.520 Баланса (ф.0503130).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отражённые в ф.0503169, соответствуют данным Баланса ф.0503130.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Сведения о государственном (муниципальном) долге, предоставленных бюджетных кредитах (ф. 0503172)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green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изменении остатков валюты баланса (ф.0503173)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п.170.2 Инструкции №191н к пояснительной записке представлена ф.0503175 и содержит аналитические данные о неисполненных бюджетных обязательствах (</w:t>
      </w:r>
      <w:r>
        <w:rPr>
          <w:rFonts w:hint="default" w:ascii="Times New Roman" w:hAnsi="Times New Roman"/>
          <w:sz w:val="24"/>
          <w:szCs w:val="24"/>
          <w:lang w:val="ru-RU"/>
        </w:rPr>
        <w:t>31475,70</w:t>
      </w:r>
      <w:r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), неисполненных денежных обязательствах (</w:t>
      </w:r>
      <w:r>
        <w:rPr>
          <w:rFonts w:hint="default" w:ascii="Times New Roman" w:hAnsi="Times New Roman"/>
          <w:sz w:val="24"/>
          <w:szCs w:val="24"/>
          <w:lang w:val="ru-RU"/>
        </w:rPr>
        <w:t>0,00 руб.</w:t>
      </w:r>
      <w:r>
        <w:rPr>
          <w:rFonts w:ascii="Times New Roman" w:hAnsi="Times New Roman"/>
          <w:sz w:val="24"/>
          <w:szCs w:val="24"/>
        </w:rPr>
        <w:t>). Показатели, отражённые в ф.0503175 соответствуют данным отчёта ф.0503128.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остатках денежных средств на счетах получателя бюджетных средств (ф.0503178)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имеют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вложениях в объекты недвижимого имущества, объектах незавершённого строительства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none"/>
        </w:rPr>
        <w:t>ф.0503190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имеет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Анализ показателей отчётности субъекта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№14)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имеет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Причины увеличения просроченной задолженности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№15)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имеет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 "Прочие вопросы деятельности субъекта бюджетной отчётности"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основных положениях учётной политики (Таблица №4) - в соответствии с пунктом 156 Инструкции №191н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ГРБС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не представляется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проведении инвентаризаций (Таблица №6)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судебных решений по денежным обязательствам бюджета (ф.0503296)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Прочие вопросы деятельности субъекта бюджетной отчетности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highlight w:val="none"/>
        </w:rPr>
        <w:t xml:space="preserve">Таблица №16)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предоставляются ГРБС согласно п.159.9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Перечень форм отчётности, не включённых в состав бюджетной отчётности за отчётный период согласно абз.1 п.8 Инструкции №191н, ввиду отсутствия числовых значений показателей: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ф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. 0503125, </w:t>
      </w:r>
      <w:r>
        <w:rPr>
          <w:rFonts w:ascii="Times New Roman" w:hAnsi="Times New Roman"/>
          <w:sz w:val="24"/>
          <w:szCs w:val="24"/>
          <w:highlight w:val="none"/>
        </w:rPr>
        <w:t>ф.0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/>
          <w:sz w:val="24"/>
          <w:szCs w:val="24"/>
          <w:highlight w:val="none"/>
        </w:rPr>
        <w:t>03166, ф.0503167, ф.050317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/>
          <w:sz w:val="24"/>
          <w:szCs w:val="24"/>
          <w:highlight w:val="none"/>
        </w:rPr>
        <w:t>, ф.0503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172</w:t>
      </w:r>
      <w:r>
        <w:rPr>
          <w:rFonts w:ascii="Times New Roman" w:hAnsi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ф. 0503174, ф. 0503178, ф. 0503190, ф. 0503191, ф. 0503192, ф. 0503193,</w:t>
      </w:r>
      <w:r>
        <w:rPr>
          <w:rFonts w:ascii="Times New Roman" w:hAnsi="Times New Roman"/>
          <w:sz w:val="24"/>
          <w:szCs w:val="24"/>
          <w:highlight w:val="none"/>
        </w:rPr>
        <w:t xml:space="preserve"> таблица №1, №3, №6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, №14, №15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Вывод.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Оценка полноты и достоверности бюджетной отчётности во всех существенных отношениях проводилась на выборочной основе. Бюджетная отчётность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представлена в срок, достоверна, соответствует структуре и бюджетной классификации. 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год, не выявлено.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125,00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нарушение п.10.9.2 Порядка №209н расходы по уплате штрафа отнесены на неверную подстатью КОСГУ.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нарушение ст.13 ФЗ №402-ФЗ, п.7 Инструкции №191н, п.38 Инструкции №157н и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(ф. 0503130)</w:t>
      </w:r>
      <w:r>
        <w:rPr>
          <w:rFonts w:ascii="Times New Roman" w:hAnsi="Times New Roman" w:cs="Times New Roman"/>
          <w:sz w:val="24"/>
          <w:szCs w:val="24"/>
          <w:highlight w:val="none"/>
        </w:rPr>
        <w:t>, содержащей незначительное искажение показателей бюджетной отчётности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Сведения о движении нефинансовых активов», а именно:</w:t>
      </w:r>
    </w:p>
    <w:p>
      <w:pPr>
        <w:pStyle w:val="15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рублей;</w:t>
      </w:r>
    </w:p>
    <w:p>
      <w:pPr>
        <w:pStyle w:val="15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рублей.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Рекомендации: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numPr>
          <w:ilvl w:val="0"/>
          <w:numId w:val="4"/>
        </w:numPr>
        <w:spacing w:after="0" w:line="240" w:lineRule="auto"/>
        <w:ind w:left="0" w:leftChars="0" w:firstLine="300" w:firstLineChars="125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целях корректного раскрытия в бюджетной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письмом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от 30 июня 2023 г. N 02-07-07/60961.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КСП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 «Ахтубинский район»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Ю.Ю. Журавлева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993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7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72DA1"/>
    <w:multiLevelType w:val="singleLevel"/>
    <w:tmpl w:val="B0072DA1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25D50"/>
    <w:rsid w:val="00136349"/>
    <w:rsid w:val="00140E90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1DB6"/>
    <w:rsid w:val="002B5B18"/>
    <w:rsid w:val="002B602E"/>
    <w:rsid w:val="002C40BD"/>
    <w:rsid w:val="002D130B"/>
    <w:rsid w:val="002D307D"/>
    <w:rsid w:val="002D3F9D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A1076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759E"/>
    <w:rsid w:val="00423630"/>
    <w:rsid w:val="00424826"/>
    <w:rsid w:val="00424B06"/>
    <w:rsid w:val="00425E03"/>
    <w:rsid w:val="00431141"/>
    <w:rsid w:val="004324DD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650C"/>
    <w:rsid w:val="00791BFC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21E65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9301B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A6A"/>
    <w:rsid w:val="00FA009F"/>
    <w:rsid w:val="00FA4291"/>
    <w:rsid w:val="00FA5391"/>
    <w:rsid w:val="00FA6CF4"/>
    <w:rsid w:val="00FB0BE8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39C5442"/>
    <w:rsid w:val="050A1096"/>
    <w:rsid w:val="09836607"/>
    <w:rsid w:val="09FD05EE"/>
    <w:rsid w:val="0BD31B10"/>
    <w:rsid w:val="0C56381E"/>
    <w:rsid w:val="0E3F58B5"/>
    <w:rsid w:val="0F6B0AEA"/>
    <w:rsid w:val="10126192"/>
    <w:rsid w:val="1097590F"/>
    <w:rsid w:val="14EE3786"/>
    <w:rsid w:val="1A0F5CDB"/>
    <w:rsid w:val="1F115F72"/>
    <w:rsid w:val="22A174EC"/>
    <w:rsid w:val="26BB03D1"/>
    <w:rsid w:val="27695E37"/>
    <w:rsid w:val="29736AC1"/>
    <w:rsid w:val="2A1E01A9"/>
    <w:rsid w:val="2C5F4402"/>
    <w:rsid w:val="2D1C439D"/>
    <w:rsid w:val="2D6051EC"/>
    <w:rsid w:val="2DC91521"/>
    <w:rsid w:val="2E1346E9"/>
    <w:rsid w:val="2F292D40"/>
    <w:rsid w:val="3110679C"/>
    <w:rsid w:val="35254A14"/>
    <w:rsid w:val="35934571"/>
    <w:rsid w:val="35B3402E"/>
    <w:rsid w:val="3B7F0C9B"/>
    <w:rsid w:val="3C125245"/>
    <w:rsid w:val="3CE758E8"/>
    <w:rsid w:val="3D8512D2"/>
    <w:rsid w:val="403315B9"/>
    <w:rsid w:val="42444F03"/>
    <w:rsid w:val="42A233A0"/>
    <w:rsid w:val="45E4196F"/>
    <w:rsid w:val="485C36A3"/>
    <w:rsid w:val="48BC38E9"/>
    <w:rsid w:val="49025C63"/>
    <w:rsid w:val="4A7F05E8"/>
    <w:rsid w:val="575B57D8"/>
    <w:rsid w:val="5A055763"/>
    <w:rsid w:val="5BF925A6"/>
    <w:rsid w:val="61537013"/>
    <w:rsid w:val="662B4291"/>
    <w:rsid w:val="66362EBA"/>
    <w:rsid w:val="667C039E"/>
    <w:rsid w:val="6968148A"/>
    <w:rsid w:val="697119CE"/>
    <w:rsid w:val="6B0842AE"/>
    <w:rsid w:val="6B6B2D4C"/>
    <w:rsid w:val="6D111A8B"/>
    <w:rsid w:val="6FAD0E48"/>
    <w:rsid w:val="73807EBE"/>
    <w:rsid w:val="744651AE"/>
    <w:rsid w:val="78D37FAF"/>
    <w:rsid w:val="799D05BD"/>
    <w:rsid w:val="79A4267D"/>
    <w:rsid w:val="7BCB3631"/>
    <w:rsid w:val="7E9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19">
    <w:name w:val="Верхний колонтитул Знак"/>
    <w:basedOn w:val="3"/>
    <w:link w:val="7"/>
    <w:qFormat/>
    <w:uiPriority w:val="99"/>
  </w:style>
  <w:style w:type="character" w:customStyle="1" w:styleId="20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0584-1498-4E3E-936E-BA6ACB0B7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4971</Words>
  <Characters>28336</Characters>
  <Lines>236</Lines>
  <Paragraphs>66</Paragraphs>
  <TotalTime>63</TotalTime>
  <ScaleCrop>false</ScaleCrop>
  <LinksUpToDate>false</LinksUpToDate>
  <CharactersWithSpaces>33241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2023-04-13T06:42:00Z</dcterms:created>
  <dc:creator>KSP1</dc:creator>
  <cp:lastModifiedBy>WPS_1698754307</cp:lastModifiedBy>
  <cp:lastPrinted>2024-04-22T04:51:00Z</cp:lastPrinted>
  <dcterms:modified xsi:type="dcterms:W3CDTF">2024-04-22T05:13:01Z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5026ED70E8044514A5A65CD8184D6466</vt:lpwstr>
  </property>
</Properties>
</file>