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КОНТРОЛЬНО - СЧЕТНАЯ ПАЛАТА МУНИЦИПАЛЬНОГО ОБРАЗОВАНИЯ 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«АХТУБИНСКИЙ МУНИЦИПАЛЬНЫЙ РАЙОН АСТРАХАНСКОЙ ОБЛАСТИ»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Волгоградская ул., д.141, г. Ахтубинск, Астраханская обл.,416500, Тел. (8-85141) 4-04-24 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ОКПО 78317643, ОГРН 1063022000282, ИНН/КПП 3001040259/300101001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top w:val="thinThickSmallGap" w:color="auto" w:sz="24" w:space="1"/>
        </w:pBd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right="-14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отчётности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главного администратора бюджетных средств</w:t>
      </w:r>
    </w:p>
    <w:p>
      <w:pPr>
        <w:spacing w:after="0" w:line="240" w:lineRule="auto"/>
        <w:ind w:right="-14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муниципального образования «Ахтубинский муниципальный район Астраханской области» -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Управления сельского хозяйства администрации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муниципального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образования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«Ахтубинский район» за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год</w:t>
      </w:r>
    </w:p>
    <w:p>
      <w:pPr>
        <w:spacing w:after="0" w:line="240" w:lineRule="auto"/>
        <w:ind w:left="567" w:right="-144"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right="282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19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.04.202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г.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№ З-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/202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4</w:t>
      </w:r>
    </w:p>
    <w:p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Основание для проведения проверки: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Статья 264.4 Бюджетного кодекса Российской Федерации и План работы Контрольно-счетной палаты муниципального образования «Ахтубинский муниципальный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район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(далее - КСП МО «Ахтубинский район»)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Ответственные должностные лица, подписавшие отчётность: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Руководитель – Татаринов В.В.;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Заведующий сектором финансово - экономической деятельности и бухгалтерского учёта – Федянина О.А.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Предметом внешней проверки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является годовая бюджетная отчётность главных администраторов бюджетных средств – ГАБС (главные администраторы доходов бюджета, главные распорядители бюджетных средств, главные администраторы источников финансирования дефицита бюджета).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Целью проведения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внешней проверки являются:</w:t>
      </w:r>
    </w:p>
    <w:p>
      <w:pPr>
        <w:pStyle w:val="15"/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установление полноты бюджетной отчётности главных администраторов средств районного бюджета;</w:t>
      </w:r>
    </w:p>
    <w:p>
      <w:pPr>
        <w:pStyle w:val="15"/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оценка достоверности показателей бюджетной отчётности главных администраторов средств районного бюджета;</w:t>
      </w:r>
    </w:p>
    <w:p>
      <w:pPr>
        <w:pStyle w:val="15"/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проверка на соответствие порядку ведения бюджетного учёта, законодательству Российской Федерации, Астраханской области, муниципальным правовым актам Ахтубинского района;</w:t>
      </w:r>
    </w:p>
    <w:p>
      <w:pPr>
        <w:pStyle w:val="15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средств.</w:t>
      </w:r>
    </w:p>
    <w:p>
      <w:pPr>
        <w:pStyle w:val="15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12"/>
          <w:szCs w:val="12"/>
          <w:lang w:eastAsia="ru-RU"/>
        </w:rPr>
      </w:pP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Заключение подготовлено на основании камеральной проверки годовой бюджетной отчётности главного администратора бюджетных средств МО «Ахтубинский муниципальный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район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 за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год, проведённой в соответствии с: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Бюджетным кодексом Российской Федерации (далее – БК РФ);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Порядком осуществления внешней проверки годового отчёта об исполнении бюджета муниципального образования «Ахтубинский район», утверждённым решением Совета МО «Ахтубинский район» от 16.03.2017г №295 (далее –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16.03.2017г №295); 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России от 28.12.2010 №191н "Об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Федерации" (далее - Инструкция №191н);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России от 01.12.2010 №157н "Об утверждении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(далее - Инструкция №157н);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России от 06.12.2010 №162н "Об утверждении Плана счетов бюджетного учёта и Инструкции по его применению" (далее – Инструкция №162н).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Приказом Минфина России от 31.12.2016 №257н "Об утверждении федерального стандарта бухгалтерского учета для организаций государственного сектора "Основные средства" (далее - Приказ от 31.12.2016 №257н).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- 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Приказ Минфина России от 15.04.2021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)далее - Приказ от 15.04.2021 №61н).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 xml:space="preserve"> </w:t>
      </w:r>
    </w:p>
    <w:p>
      <w:pPr>
        <w:pStyle w:val="15"/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12"/>
          <w:szCs w:val="12"/>
          <w:lang w:eastAsia="ru-RU"/>
        </w:rPr>
      </w:pPr>
    </w:p>
    <w:p>
      <w:pPr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1. Общие сведения.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Полное наименование: Управление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сельского хозяйства администрации муниципального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образования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«Ахтубинский район»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 (далее - Управление сельского хозяйства).</w:t>
      </w:r>
    </w:p>
    <w:p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Местонахождение объекта контроля и его юридический адрес: </w:t>
      </w:r>
      <w:r>
        <w:rPr>
          <w:rFonts w:ascii="Times New Roman" w:hAnsi="Times New Roman" w:eastAsia="Times New Roman"/>
          <w:sz w:val="24"/>
          <w:szCs w:val="24"/>
          <w:lang w:eastAsia="zh-CN"/>
        </w:rPr>
        <w:t>416500 Россия, Астраханская область, г. Ахтубинск, ул. Волгоградская, 141.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Контактная информация: телефон/факс: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(85141) 4-04-46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Официальная эл. почта: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ahtubinskucx@mail.ru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ИНН/КПП: 3001001556/ 300101001.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Подведомственных учреждений не имеет.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Управлению сельского хозяйства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открыты лицевые счета в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Территориальном отделе № 9 Управления Федерального казначейства по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действующие в проверяемом периоде и на момент проверки:</w:t>
      </w:r>
    </w:p>
    <w:tbl>
      <w:tblPr>
        <w:tblStyle w:val="4"/>
        <w:tblW w:w="93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752"/>
        <w:gridCol w:w="71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</w:t>
            </w: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п/п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Номер лицевого счета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Назначение счета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03</w:t>
            </w:r>
            <w:r>
              <w:rPr>
                <w:rFonts w:ascii="Times New Roman" w:hAnsi="Times New Roman" w:eastAsia="Calibri" w:cs="Times New Roman"/>
                <w:bCs/>
              </w:rPr>
              <w:t>253</w:t>
            </w:r>
            <w:r>
              <w:rPr>
                <w:rFonts w:ascii="Times New Roman" w:hAnsi="Times New Roman" w:eastAsia="Calibri" w:cs="Times New Roman"/>
                <w:bCs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bCs/>
              </w:rPr>
              <w:t>03980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счёт ПБС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5</w:t>
            </w:r>
            <w:r>
              <w:rPr>
                <w:rFonts w:ascii="Times New Roman" w:hAnsi="Times New Roman" w:eastAsia="Calibri" w:cs="Times New Roman"/>
                <w:bCs/>
              </w:rPr>
              <w:t>253</w:t>
            </w:r>
            <w:r>
              <w:rPr>
                <w:rFonts w:ascii="Times New Roman" w:hAnsi="Times New Roman" w:eastAsia="Calibri" w:cs="Times New Roman"/>
                <w:bCs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bCs/>
              </w:rPr>
              <w:t>03980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счёт для учёта операций со средствами, поступающими во временное распоряжение получателя бюджетных средств</w:t>
            </w:r>
          </w:p>
        </w:tc>
      </w:tr>
    </w:tbl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Ответственными должностными лицами за финансово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хозяйственную деятельность Управления сельского хозяйства в проверяемом периоде являлись с правом:</w:t>
      </w:r>
    </w:p>
    <w:p>
      <w:pPr>
        <w:pStyle w:val="10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>первой подписи:</w:t>
      </w:r>
    </w:p>
    <w:p>
      <w:pPr>
        <w:pStyle w:val="10"/>
        <w:spacing w:before="0" w:beforeAutospacing="0" w:afterAutospacing="0"/>
        <w:jc w:val="both"/>
      </w:pPr>
      <w:r>
        <w:t>- Начальник управления сельского хозяйства администрации муниципального образования «Ахтубинский район» - Татаринов Виктор Васильевич, назначен на должность с 09.06.2021 г. по настоящее время (распоряжение администрации МО «Ахтубинский район» от 09.06.2021 г. № 104 л/с);</w:t>
      </w:r>
    </w:p>
    <w:p>
      <w:pPr>
        <w:pStyle w:val="10"/>
        <w:spacing w:before="0" w:beforeAutospacing="0" w:afterAutospacing="0"/>
        <w:jc w:val="both"/>
      </w:pPr>
      <w:r>
        <w:t xml:space="preserve">- Заместитель начальника - начальник финансово - экономического отдела - Чернухина Ольга Викторовна, назначена на должность 18.06.2019 г. по настоящее время (приказ Управления сельского хозяйства от 18.06.2019 г. №27); </w:t>
      </w:r>
    </w:p>
    <w:p>
      <w:pPr>
        <w:pStyle w:val="10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>второй подписи:</w:t>
      </w:r>
    </w:p>
    <w:p>
      <w:pPr>
        <w:pStyle w:val="10"/>
        <w:spacing w:before="0" w:beforeAutospacing="0" w:afterAutospacing="0"/>
        <w:jc w:val="both"/>
      </w:pPr>
      <w:r>
        <w:t>- Заведующий сектором финансово - экономической деятельности и бухгалтерского учёта - Федянина Ольга Александровна, назначена на должность с 01.01.2013 г. по настоящее время (приказ Управления сельского хозяйства от 28.12.2012 г. №44).</w:t>
      </w:r>
    </w:p>
    <w:p>
      <w:pPr>
        <w:pStyle w:val="10"/>
        <w:spacing w:before="0" w:beforeAutospacing="0" w:after="0" w:afterAutospacing="0"/>
        <w:ind w:firstLine="709"/>
        <w:jc w:val="both"/>
        <w:rPr>
          <w:highlight w:val="none"/>
        </w:rPr>
      </w:pPr>
      <w:r>
        <w:rPr>
          <w:highlight w:val="none"/>
        </w:rPr>
        <w:t xml:space="preserve">Учётная политика утверждена приказом от </w:t>
      </w:r>
      <w:r>
        <w:rPr>
          <w:rFonts w:hint="default"/>
          <w:highlight w:val="none"/>
          <w:lang w:val="ru-RU"/>
        </w:rPr>
        <w:t>27</w:t>
      </w:r>
      <w:r>
        <w:rPr>
          <w:highlight w:val="none"/>
        </w:rPr>
        <w:t>.12.202</w:t>
      </w:r>
      <w:r>
        <w:rPr>
          <w:rFonts w:hint="default"/>
          <w:highlight w:val="none"/>
          <w:lang w:val="ru-RU"/>
        </w:rPr>
        <w:t>2</w:t>
      </w:r>
      <w:r>
        <w:rPr>
          <w:highlight w:val="none"/>
        </w:rPr>
        <w:t xml:space="preserve"> №</w:t>
      </w:r>
      <w:r>
        <w:rPr>
          <w:rFonts w:hint="default"/>
          <w:highlight w:val="none"/>
          <w:lang w:val="ru-RU"/>
        </w:rPr>
        <w:t>22</w:t>
      </w:r>
      <w:r>
        <w:rPr>
          <w:highlight w:val="none"/>
        </w:rPr>
        <w:t xml:space="preserve"> «Об утверждении учётной политики на 202</w:t>
      </w:r>
      <w:r>
        <w:rPr>
          <w:rFonts w:hint="default"/>
          <w:highlight w:val="none"/>
          <w:lang w:val="ru-RU"/>
        </w:rPr>
        <w:t>3</w:t>
      </w:r>
      <w:r>
        <w:rPr>
          <w:highlight w:val="none"/>
        </w:rPr>
        <w:t xml:space="preserve"> год».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Годовая отчётность за 202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3</w:t>
      </w: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 год сформирована на 01.01.202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4</w:t>
      </w: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 г. и представлена в финансовый орган до 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19</w:t>
      </w:r>
      <w:r>
        <w:rPr>
          <w:rFonts w:ascii="Times New Roman" w:hAnsi="Times New Roman" w:eastAsia="Times New Roman"/>
          <w:sz w:val="24"/>
          <w:szCs w:val="24"/>
          <w:lang w:eastAsia="zh-CN"/>
        </w:rPr>
        <w:t>.01.202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4</w:t>
      </w: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 г., что соответствует сроку, установленному приказом Финансового управления администрации МО «Ахтубинский район» от 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19.12.2023</w:t>
      </w: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 г. № 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164</w:t>
      </w:r>
      <w:r>
        <w:rPr>
          <w:rFonts w:ascii="Times New Roman" w:hAnsi="Times New Roman" w:eastAsia="Times New Roman"/>
          <w:sz w:val="24"/>
          <w:szCs w:val="24"/>
          <w:lang w:eastAsia="zh-CN"/>
        </w:rPr>
        <w:t>-С.</w:t>
      </w:r>
    </w:p>
    <w:p>
      <w:pPr>
        <w:pStyle w:val="10"/>
        <w:spacing w:before="0" w:beforeAutospacing="0" w:after="0" w:afterAutospacing="0"/>
        <w:ind w:firstLine="709"/>
        <w:jc w:val="both"/>
        <w:rPr>
          <w:lang w:eastAsia="zh-CN"/>
        </w:rPr>
      </w:pPr>
      <w:r>
        <w:rPr>
          <w:lang w:eastAsia="zh-CN"/>
        </w:rPr>
        <w:t>Согласно Порядку от 16.03.2017 № 295 для ГРБС установлен срок представления годовой отчётности за 202</w:t>
      </w:r>
      <w:r>
        <w:rPr>
          <w:rFonts w:hint="default"/>
          <w:lang w:val="ru-RU" w:eastAsia="zh-CN"/>
        </w:rPr>
        <w:t>3</w:t>
      </w:r>
      <w:r>
        <w:rPr>
          <w:lang w:eastAsia="zh-CN"/>
        </w:rPr>
        <w:t xml:space="preserve"> год – 20.03.202</w:t>
      </w:r>
      <w:r>
        <w:rPr>
          <w:rFonts w:hint="default"/>
          <w:lang w:val="ru-RU" w:eastAsia="zh-CN"/>
        </w:rPr>
        <w:t>4</w:t>
      </w:r>
      <w:r>
        <w:rPr>
          <w:lang w:eastAsia="zh-CN"/>
        </w:rPr>
        <w:t>г.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Бюджетная отчётность за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год направлена в адрес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>КСП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МО «Ахтубинский район» в соответствии с установленными сроками (статья 264.4 БК РФ), (письмо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.03.202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г. исх.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196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).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Проверка комплектности, соответствия и полноты информации бюджетной отчётности проведена в соответствии с требованиями Инструкции от 28.12.2010 № 191н. 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12"/>
          <w:szCs w:val="12"/>
          <w:lang w:eastAsia="ru-RU"/>
        </w:rPr>
      </w:pPr>
    </w:p>
    <w:p>
      <w:pPr>
        <w:pStyle w:val="15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годовой бюджетной отчётности.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п.11.1, п.59.1, п.70.1 Инструкции №191н представлена следующая бюджетная отчётность:</w:t>
      </w:r>
    </w:p>
    <w:p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832"/>
        <w:gridCol w:w="1358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ф.0503130</w:t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консолидируемым расчётам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ф.0503125</w:t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нулевое значение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заключению счетов бюджетного учёта отчётного финансового года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ф.0503110</w:t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(ГРБС)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(ПБС)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бюджетных обязательствах (ГРБС)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бюджетных обязательствах (ПБС)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финансовых результатах деятельности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ф.0503121</w:t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движении денежных средств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"consultantplus://offline/ref=866B7735309E47EE23AA00AC4214A1F2B97FFF0A08BEA69DFC7B609C652D3BC02865D8F8467701640A393B50B260736D7AEDB1DFE2730F67W6o3F"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ф.0503123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сводной пояснительной записке ф.0503160 представлены следующие таблицы и приложения: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№13 «</w:t>
      </w:r>
      <w:r>
        <w:rPr>
          <w:rFonts w:ascii="Times New Roman" w:hAnsi="Times New Roman"/>
          <w:sz w:val="24"/>
          <w:szCs w:val="24"/>
        </w:rPr>
        <w:t>Анализ отчета об исполнении бюджета субъектом бюджетной отчетности»;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Сведения об исполнении бюджета ф.0503164;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Сведения о движении нефинансовых активов ф.0503168;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Сведения по дебиторской и кредиторской задолженности ф.0503169;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- Сведения о принятых и неисполненных обязательствах получателя бюджетных средств ф.0503175;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- Сведения об остатках денежных средств на счетах получателя бюджетных средств ф. 0503178;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Дополнительно предоставлена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>Главная книга за 202</w:t>
      </w:r>
      <w:r>
        <w:rPr>
          <w:rFonts w:hint="default" w:ascii="Times New Roman" w:hAnsi="Times New Roman" w:cs="Times New Roman"/>
          <w:bCs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год</w:t>
      </w:r>
      <w:r>
        <w:rPr>
          <w:rFonts w:hint="default" w:ascii="Times New Roman" w:hAnsi="Times New Roman" w:cs="Times New Roman"/>
          <w:bCs/>
          <w:sz w:val="24"/>
          <w:szCs w:val="24"/>
          <w:highlight w:val="none"/>
          <w:lang w:val="ru-RU"/>
        </w:rPr>
        <w:t xml:space="preserve"> и таблица №16 «Прочие вопросы деятельности субъекта бюджетной отчётности»</w:t>
      </w:r>
      <w:r>
        <w:rPr>
          <w:rFonts w:ascii="Times New Roman" w:hAnsi="Times New Roman"/>
          <w:bCs/>
          <w:sz w:val="24"/>
          <w:szCs w:val="24"/>
          <w:highlight w:val="none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п.4 Инструкции №191н бюджетная отчётность представлена на бумажном носителе в сброшюрованном и пронумерованном виде с оглавлением и сопроводительным письмом. Бюджетная отчётность содержит все формы отчётов, предусмотренных Инструкцией №191н (за исключением форм бюджетной отчётности, не имеющих числового значения) и подписана усиленной квалифицированной электронной подписью.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отчётность составлена нарастающим итогом с начала года в рублях с точностью до второго десятичного знака после запятой (п.9 Инструкции №191н).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проведения проверки выполнения контрольных соотношений между показателями форм бюджетной отчётности в автоматическом режиме подтверждены протоколом проверки междокументных контрольных соотношений с отметкой «проверка выполнена успешно».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п.7 Инструкции №191н в целях составления годовой бюджетной отчётности проведена инвентаризация активов и обязательств в порядке, установленном экономическим субъектом в рамках формирования его учётной политики. По данным раздела 5 пояснительной записки (ф.0503160) в целях подтверждения показателей годовой бюджетной отчётности в соответствии с </w:t>
      </w:r>
      <w:r>
        <w:rPr>
          <w:rFonts w:ascii="Times New Roman" w:hAnsi="Times New Roman" w:cs="Times New Roman"/>
          <w:sz w:val="24"/>
          <w:szCs w:val="24"/>
          <w:lang w:val="ru-RU"/>
        </w:rPr>
        <w:t>решением</w:t>
      </w:r>
      <w:r>
        <w:rPr>
          <w:rFonts w:ascii="Times New Roman" w:hAnsi="Times New Roman" w:cs="Times New Roman"/>
          <w:sz w:val="24"/>
          <w:szCs w:val="24"/>
        </w:rPr>
        <w:t xml:space="preserve"> от 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0000-000001</w:t>
      </w:r>
      <w:r>
        <w:rPr>
          <w:rFonts w:ascii="Times New Roman" w:hAnsi="Times New Roman" w:cs="Times New Roman"/>
          <w:sz w:val="24"/>
          <w:szCs w:val="24"/>
        </w:rPr>
        <w:t xml:space="preserve"> Управления сельского хозяйства проведена инвентаризация основных средств и материальных ценностей.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  <w:t>В нарушение требований Инструкции №157н, ФЗ №402-ФЗ, п.3.44, 3.48 Методических указаний от 13.06.1995 №49, п.7 Инструкции №191н перед составлением годовой отчетности инвентаризация финансовых активов и обязательств проведена не в полном объеме (акты сверок с контрагентами не представлены), в связи с чем, подтвердить достоверность данных по счетам бухгалтерского учета и баланса не представляется возможным.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highlight w:val="none"/>
          <w:lang w:eastAsia="zh-CN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lang w:eastAsia="zh-CN"/>
        </w:rPr>
        <w:t xml:space="preserve">Контрольно-счетная палата рекомендует перед составлением годовой бухгалтерской отчетности проводить инвентаризацию объектов нефинансовых активов и финансовых обязательств в полном объеме.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 результатам инвентаризации расхождений между фактическим наличием активов и состоянием расчётов с данными бюджетного учёта не выявлено.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>
      <w:pPr>
        <w:numPr>
          <w:ilvl w:val="0"/>
          <w:numId w:val="2"/>
        </w:num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Проверка правильности составления, ведения бюджетной росписи ГРБС.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п. 1 ст. 217, п. 1 ст. 219.1 Бюджетного кодекса Российской Федерации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утверждён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приказ Финансового управления от 31.12.2015 №44-с «Об утверждении Порядка составления и ве</w:t>
      </w:r>
      <w:r>
        <w:rPr>
          <w:rFonts w:ascii="Times New Roman" w:hAnsi="Times New Roman" w:cs="Times New Roman"/>
          <w:sz w:val="24"/>
          <w:szCs w:val="24"/>
          <w:lang w:eastAsia="zh-CN"/>
        </w:rPr>
        <w:t>дения сводной бюджетной росписи бюджета муниципального образования «Ахтубинский район» и бюджетных росписей главных распорядителей средств бюджета муниципального образования «Ахтубинский район» (главных администраторов источников финансирования дефицита бюджета муниципального образования «Ахтубинский район»)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 xml:space="preserve">, (далее -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Поряд</w:t>
      </w:r>
      <w:r>
        <w:rPr>
          <w:rFonts w:ascii="Times New Roman" w:hAnsi="Times New Roman" w:cs="Times New Roman"/>
          <w:sz w:val="24"/>
          <w:szCs w:val="24"/>
          <w:highlight w:val="none"/>
          <w:lang w:val="ru-RU" w:eastAsia="zh-CN"/>
        </w:rPr>
        <w:t>ок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ведения бюджетной росписи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)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установленным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Порядком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ведения бюджетной роспис</w:t>
      </w:r>
      <w:r>
        <w:rPr>
          <w:rFonts w:ascii="Times New Roman" w:hAnsi="Times New Roman" w:cs="Times New Roman"/>
          <w:sz w:val="24"/>
          <w:szCs w:val="24"/>
          <w:highlight w:val="none"/>
          <w:lang w:val="ru-RU" w:eastAsia="zh-CN"/>
        </w:rPr>
        <w:t>и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, бюд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жетные ассигнования по расходам на 2023 год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утверждены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решением Совета </w:t>
      </w:r>
      <w:r>
        <w:rPr>
          <w:rFonts w:ascii="Times New Roman" w:hAnsi="Times New Roman" w:cs="Times New Roman"/>
          <w:sz w:val="24"/>
          <w:szCs w:val="24"/>
        </w:rPr>
        <w:t xml:space="preserve">МО «Ахтубинский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Астраханской области</w:t>
      </w:r>
      <w:r>
        <w:rPr>
          <w:rFonts w:ascii="Times New Roman" w:hAnsi="Times New Roman" w:cs="Times New Roman"/>
          <w:sz w:val="24"/>
          <w:szCs w:val="24"/>
        </w:rPr>
        <w:t>» от 28.12.2023 №404 «О внесении изменений в решение Совета МО «Ахтубинский район» от 08.12.2022 №309 «О бюджете муниципального образования «Ахтубинский муниципальный район Астраханской области» на 2023 год и плановый период 2024-2025 годов»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В соответствии с требованиям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и Порядка ведения бюджетной росписи, бюдже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тные ассигнования по расходам утверждены в разрезе главных распорядителей средств бюджета, разделов, подразделов, целевых статей (муниципальных программ и непрограммных направлений деятельности), групп, подгрупп видов расходов классификации расходов бюджета.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Показатели сводной бюджетной росписи главного распорядителя бюджетных средств представлены в таблице:</w:t>
      </w:r>
    </w:p>
    <w:p>
      <w:pPr>
        <w:wordWrap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Таблица №2 (рублей)</w:t>
      </w:r>
    </w:p>
    <w:tbl>
      <w:tblPr>
        <w:tblStyle w:val="1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25"/>
        <w:gridCol w:w="2158"/>
        <w:gridCol w:w="265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864" w:type="dxa"/>
            <w:vAlign w:val="top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Разделподраздел</w:t>
            </w:r>
          </w:p>
        </w:tc>
        <w:tc>
          <w:tcPr>
            <w:tcW w:w="2225" w:type="dxa"/>
            <w:vAlign w:val="top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раздела, подраздела</w:t>
            </w:r>
          </w:p>
        </w:tc>
        <w:tc>
          <w:tcPr>
            <w:tcW w:w="21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Утверждено Решением Совета от 28.12.2023 №404 на 2023 год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Утверждено бюджетной росписью на 2023 год (приказ №176-С от 29.12.2023г.)</w:t>
            </w:r>
          </w:p>
        </w:tc>
        <w:tc>
          <w:tcPr>
            <w:tcW w:w="1559" w:type="dxa"/>
            <w:vAlign w:val="top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64" w:type="dxa"/>
          </w:tcPr>
          <w:p>
            <w:pPr>
              <w:jc w:val="both"/>
              <w:textAlignment w:val="top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val="en-US" w:eastAsia="zh-CN" w:bidi="ar"/>
              </w:rPr>
              <w:t>Всего</w:t>
            </w:r>
          </w:p>
        </w:tc>
        <w:tc>
          <w:tcPr>
            <w:tcW w:w="2225" w:type="dxa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45677058,25</w:t>
            </w:r>
          </w:p>
        </w:tc>
        <w:tc>
          <w:tcPr>
            <w:tcW w:w="2658" w:type="dxa"/>
          </w:tcPr>
          <w:p>
            <w:pPr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45677058,25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color w:val="000000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lang w:val="ru-RU" w:eastAsia="zh-CN" w:bidi="ar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4" w:type="dxa"/>
            <w:vAlign w:val="bottom"/>
          </w:tcPr>
          <w:p>
            <w:pPr>
              <w:textAlignment w:val="bottom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>5</w:t>
            </w:r>
          </w:p>
        </w:tc>
        <w:tc>
          <w:tcPr>
            <w:tcW w:w="2225" w:type="dxa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SimSun"/>
                <w:color w:val="000000"/>
                <w:lang w:val="en-US" w:eastAsia="zh-CN"/>
              </w:rPr>
              <w:t>Сельское хозяйство и рыболовство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/>
              </w:rPr>
              <w:t>45677058,25</w:t>
            </w:r>
          </w:p>
        </w:tc>
        <w:tc>
          <w:tcPr>
            <w:tcW w:w="2658" w:type="dxa"/>
          </w:tcPr>
          <w:p>
            <w:pPr>
              <w:jc w:val="center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lang w:val="ru-RU"/>
              </w:rPr>
              <w:t>45677058,25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>0,00</w:t>
            </w:r>
          </w:p>
        </w:tc>
      </w:tr>
    </w:tbl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представленной бухгалтерской отчётностью Управление сельского хозяйства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не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является администратором доходов.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асходы составили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45609142,85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рублей при плане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45677058,25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рублей, исполнение составило 99,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85</w:t>
      </w:r>
      <w:r>
        <w:rPr>
          <w:rFonts w:ascii="Times New Roman" w:hAnsi="Times New Roman" w:cs="Times New Roman"/>
          <w:sz w:val="24"/>
          <w:szCs w:val="24"/>
          <w:lang w:eastAsia="zh-CN"/>
        </w:rPr>
        <w:t>%.</w:t>
      </w:r>
    </w:p>
    <w:p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Проверка правильности составления, ведения бюджетной росписи ГРБС.</w:t>
      </w:r>
    </w:p>
    <w:p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Проверкой полноты бюджетной отчётности в части её соответствия по составу и установленным формам, достоверности отражения показателей бюджетной отчётности по их соответствию положениям Инструкции №191н установлено (определён выборочный способ проверки):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п.7 Инструкции №191н бюджетная отчётность составлена: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основе данных Главной книги и (или) других регистров бюджетного учёта;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основе плановых (прогнозных) и (или) аналитических (управленческих) данных, сформированных в ходе осуществления субъектом учёта своей деятельности.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4.1. Справка по заключению счетов бюджетного учёта отчётного финансового года (ф.0503110)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Во исполнение п.43 Инструкции №191н справка отражает обороты по счетам бюджетного учёта, подлежащим закрытию по завершении отчётного финансового года в установленном порядке, в разрезе бюджетной деятельности (раздел 1 и раздел 3) и деятельности со средствами, поступающими во временное распоряжение (раздел 2).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Раздел 1 «Бюджетная деятельность» справки сформирован на основании данных по соответствующим номерам счетов 140110 «Доходы текущего финансового года», 140120 «Расходы текущего финансового года» в сумме показателей на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(графы 2,3) и в сумме заключительных операций по закрытию счетов, произведённых по завершении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(графы 4-7). Данные показателей ф.0503110 сопоставимы с данными форм 0503121.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12"/>
          <w:highlight w:val="none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4.2. Отчёт о финансовых результатах деятельности (ф.0503121).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Отчёт ф.0503121 представлен в составе годовой бюджетной отчётности (п.п.10, 92 Инструкции №191н). Во исполнение п.92-93 Инструкции №191н отчёт содержит данные о финансовых результатах деятельности в разрезе кодов КОСГУ по состоянию на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г., отражённые в рамках бюджетной деятельности (гр.4) и итогового показателя (гр.6).</w:t>
      </w:r>
    </w:p>
    <w:p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Таблица №3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4156"/>
        <w:gridCol w:w="4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3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№п/п</w:t>
            </w:r>
          </w:p>
        </w:tc>
        <w:tc>
          <w:tcPr>
            <w:tcW w:w="4156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Показатель</w:t>
            </w:r>
          </w:p>
        </w:tc>
        <w:tc>
          <w:tcPr>
            <w:tcW w:w="469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Бюджетная деятельность (рублей)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3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1.</w:t>
            </w:r>
          </w:p>
        </w:tc>
        <w:tc>
          <w:tcPr>
            <w:tcW w:w="4156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Доходы</w:t>
            </w:r>
          </w:p>
        </w:tc>
        <w:tc>
          <w:tcPr>
            <w:tcW w:w="469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3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2.</w:t>
            </w:r>
          </w:p>
        </w:tc>
        <w:tc>
          <w:tcPr>
            <w:tcW w:w="4156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Расходы</w:t>
            </w:r>
          </w:p>
        </w:tc>
        <w:tc>
          <w:tcPr>
            <w:tcW w:w="4692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45735615,29</w:t>
            </w:r>
          </w:p>
          <w:p>
            <w:pPr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3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3.</w:t>
            </w:r>
          </w:p>
        </w:tc>
        <w:tc>
          <w:tcPr>
            <w:tcW w:w="4156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  <w:t>Чистый операционный результат (стр.3+стр.4)</w:t>
            </w:r>
          </w:p>
        </w:tc>
        <w:tc>
          <w:tcPr>
            <w:tcW w:w="4692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-45735615,29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3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</w:t>
            </w:r>
          </w:p>
        </w:tc>
        <w:tc>
          <w:tcPr>
            <w:tcW w:w="4156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Операции с нефинансовыми активами</w:t>
            </w:r>
          </w:p>
        </w:tc>
        <w:tc>
          <w:tcPr>
            <w:tcW w:w="4692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-2150,75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3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5.</w:t>
            </w:r>
          </w:p>
        </w:tc>
        <w:tc>
          <w:tcPr>
            <w:tcW w:w="4156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Операции с финансовыми активами и обязательствами</w:t>
            </w:r>
          </w:p>
        </w:tc>
        <w:tc>
          <w:tcPr>
            <w:tcW w:w="4692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-45733464,54</w:t>
            </w:r>
          </w:p>
        </w:tc>
      </w:tr>
    </w:tbl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highlight w:val="green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Данные показателей ф.0503121 сопоставимы с данными формы 0503110.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highlight w:val="gree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4.3.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>Отчёт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о движении денежных средств (ф.0503123).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п.146 Инструкции №191н отчёт содержит данные о движении денежных средств в кассе, на счёте по состоянию на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4 </w:t>
      </w:r>
      <w:r>
        <w:rPr>
          <w:rFonts w:ascii="Times New Roman" w:hAnsi="Times New Roman" w:cs="Times New Roman"/>
          <w:sz w:val="24"/>
          <w:szCs w:val="24"/>
          <w:highlight w:val="none"/>
        </w:rPr>
        <w:t>г. и составлен в разрезе КОСГУ. Информация сгруппирована по видам операций: текущие, инвестиционные, финансовые. Показатели графы 4 отчёта ф.0503123 сформированы на основании данных по видам поступлений и выбытий, с учётом возвратов текущего финансового периода.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Сумма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"consultantplus://offline/ref=827AC9A5E62DFDDB7D04897F3119B8BA47CEE20C384A92A7311A1AF96C7C502A7D3D2E439D81FE5269D41AE7A2C3C7E592C86EE01B76D2wAEEL"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строк 5010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"consultantplus://offline/ref=827AC9A5E62DFDDB7D04897F3119B8BA47CEE20C384A92A7311A1AF96C7C502A7D3D2E439D81FE5169D41AE7A2C3C7E592C86EE01B76D2wAEEL"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5020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за вычетом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"consultantplus://offline/ref=827AC9A5E62DFDDB7D04897F3119B8BA47CEE20C384A92A7311A1AF96C7C502A7D3D2E439D8EF85A69D41AE7A2C3C7E592C86EE01B76D2wAEEL"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строки 4400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суммы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"consultantplus://offline/ref=827AC9A5E62DFDDB7D04897F3119B8BA47CEE20C384A92A7311A1AF96C7C502A7D3D2E439D8EF65469D41AE7A2C3C7E592C86EE01B76D2wAEEL"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строк 4610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"consultantplus://offline/ref=827AC9A5E62DFDDB7D04897F3119B8BA47CEE20C384A92A7311A1AF96C7C502A7D3D2E439D8EF65B69D41AE7A2C3C7E592C86EE01B76D2wAEEL"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4620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отчёта (ф. 0503123) равняется сумме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"consultantplus://offline/ref=827AC9A5E62DFDDB7D04897F3119B8BA47CEE20C384A92A7311A1AF96C7C502A7D3D2E43998BFD5A608B1FF2B39BCBE58DD66AFA0774D0AFw8EDL"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строк 700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"consultantplus://offline/ref=827AC9A5E62DFDDB7D04897F3119B8BA47CEE20C384A92A7311A1AF96C7C502A7D3D2E43998BFD5A6B8B1FF2B39BCBE58DD66AFA0774D0AFw8EDL"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810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граф 5 и 6 отчёта (ф. 0503127) без учёта остатков в кассе.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Статьёй 34 БК РФ установлен принцип эффективности использования бюджетных средств, который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объёма средств (экономности) и (или) достижения наилучшего результата с использованием определённого бюджетом объёма средств (результативности).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силу требований, установленных статьёй 162 БК РФ, получатель бюджетных средств обеспечивает результативность использования предусмотренных ему бюджетных ассигнований.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году Управлением сельского хозяйства произведены расходы по уплате штрафа за нарушение законодательства о налогах и сборах в размере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2500,00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12"/>
          <w:szCs w:val="12"/>
          <w:highlight w:val="none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  <w:t xml:space="preserve">В нарушение ст.34 БК РФ допущено неэффективное использование бюджетных средств, произведены расходы по уплате штрафа за нарушение законодательства о налогах и сборах в размере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highlight w:val="none"/>
          <w:lang w:val="ru-RU"/>
        </w:rPr>
        <w:t>2500,00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  <w:t xml:space="preserve"> руб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  <w:lang w:val="ru-RU"/>
        </w:rPr>
        <w:t>лей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  <w:t xml:space="preserve">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12"/>
          <w:szCs w:val="12"/>
          <w:highlight w:val="none"/>
        </w:rPr>
      </w:pPr>
    </w:p>
    <w:p>
      <w:pPr>
        <w:tabs>
          <w:tab w:val="left" w:pos="1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4.4. Справка по консолидируемым расчётам (ф.0503125).</w:t>
      </w:r>
    </w:p>
    <w:p>
      <w:pPr>
        <w:tabs>
          <w:tab w:val="left" w:pos="17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п.23 Инструкции №191н справка по консолидируемым расчётам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отчётности и представляется на 1 января года, следующего за отчётным, по денежным и неденежным расчётам. Отчёт ф.0503125 </w:t>
      </w:r>
      <w:r>
        <w:rPr>
          <w:rFonts w:ascii="Times New Roman" w:hAnsi="Times New Roman"/>
          <w:sz w:val="24"/>
          <w:szCs w:val="24"/>
        </w:rPr>
        <w:t>не включён в состав бюджетной отчётности за отчётный период согласно абзацу 1 пункта 8 Инструкции №191н, ввиду отсутствия числовых значений показателей.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highlight w:val="gree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4.5. Отчёт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Отчёт раскрывает бюджетную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"consultantplus://offline/ref=FF3DB571B2F08C93F47E057097A9F3D75329E5619206DA4B28C691DD3EF6BE472DB07AEE7B5DD32ED77D0113CBB4D33D5860C924B24DF3B3Y0E9M"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информацию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обеспечивает сопоставление утверждённых (доведённых) бюджетных назначений с данными об исполнении бюджета. При заполнении документа руководствуются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"consultantplus://offline/ref=FF3DB571B2F08C93F47E057097A9F3D7532AE66E9508DA4B28C691DD3EF6BE472DB07AEE7B5DD725D77D0113CBB4D33D5860C924B24DF3B3Y0E9M"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п.п.52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-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"consultantplus://offline/ref=FF3DB571B2F08C93F47E057097A9F3D7532AE66E9508DA4B28C691DD3EF6BE472DB07AEE7B5DD62FD37D0113CBB4D33D5860C924B24DF3B3Y0E9M"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59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"consultantplus://offline/ref=FF3DB571B2F08C93F47E057097A9F3D7532AE66E9508DA4B28C691DD3EF6BE472DB07AEE7B5DD628D47D0113CBB4D33D5860C924B24DF3B3Y0E9M"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60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-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"consultantplus://offline/ref=FF3DB571B2F08C93F47E057097A9F3D7532AE66E9508DA4B28C691DD3EF6BE472DB07AE87956877D902358418FFFDE3D467CC925YAEDM"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62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Инструкции №191н.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по строке 500 раздела «Источники финансирования дефицита бюджета» в графах 5, 6, 7, 8 равны показателям, отражённым по строке 450 в графах 6, 7, 8, 9 соответственно, с противоположным знаком.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Отчёта (ф.0503127) сопоставимы с показателями Отчёта (ф.0503123) (отчёт показывает движение денежных средств на счетах учреждения).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граф 4, 5 и 9 разд. 2 и 3 Отчёта (ф.0503127) сопоставимы с показателями граф 4, 5 и 10 разд. 1 и 2 Отчёта (ф.0503128) соответственно.</w:t>
      </w:r>
    </w:p>
    <w:p>
      <w:pPr>
        <w:pStyle w:val="10"/>
        <w:spacing w:before="0" w:beforeAutospacing="0" w:after="0" w:afterAutospacing="0"/>
        <w:ind w:firstLine="567"/>
        <w:jc w:val="both"/>
        <w:rPr>
          <w:rFonts w:eastAsiaTheme="minorHAnsi"/>
          <w:highlight w:val="none"/>
          <w:lang w:eastAsia="en-US"/>
        </w:rPr>
      </w:pPr>
      <w:r>
        <w:rPr>
          <w:highlight w:val="none"/>
        </w:rPr>
        <w:t xml:space="preserve">Сумма расходов, отражённая в Отчёте (ф.0503127) по разделу «Расходы бюджета - всего» в графе 6 «Исполнено, через финансовые органы» – </w:t>
      </w:r>
      <w:r>
        <w:rPr>
          <w:rFonts w:hint="default"/>
          <w:highlight w:val="none"/>
          <w:lang w:val="ru-RU"/>
        </w:rPr>
        <w:t>45609142,85</w:t>
      </w:r>
      <w:r>
        <w:rPr>
          <w:highlight w:val="none"/>
        </w:rPr>
        <w:t xml:space="preserve"> руб. соответствует кредитовым оборотам по соответствующим счетам счета 0.304.05 «Расчёты по платежам из бюджета с финансовым органом» в главн</w:t>
      </w:r>
      <w:r>
        <w:rPr>
          <w:highlight w:val="none"/>
          <w:lang w:val="ru-RU"/>
        </w:rPr>
        <w:t>ой</w:t>
      </w:r>
      <w:r>
        <w:rPr>
          <w:highlight w:val="none"/>
        </w:rPr>
        <w:t xml:space="preserve"> книг</w:t>
      </w:r>
      <w:r>
        <w:rPr>
          <w:highlight w:val="none"/>
          <w:lang w:val="ru-RU"/>
        </w:rPr>
        <w:t>е</w:t>
      </w:r>
      <w:r>
        <w:rPr>
          <w:highlight w:val="none"/>
        </w:rPr>
        <w:t xml:space="preserve"> за 2023 год</w:t>
      </w:r>
      <w:r>
        <w:rPr>
          <w:rFonts w:eastAsiaTheme="minorHAnsi"/>
          <w:highlight w:val="none"/>
          <w:lang w:eastAsia="en-US"/>
        </w:rPr>
        <w:t>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п.59.1 Инструкции №191н сформирована дополнительная ф.0503127 содержащая данные о бюджетных назначениях по доходам, расходам, источникам финансирования дефицита бюджета. Нарушений не выявлено.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highlight w:val="gree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4.6. Отчёт о бюджетных обязательствах (ф.0503128).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Отчёт составлен на основании данных о принятых и исполненных бюджетных обязательствах и представлен по состоянию на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4 </w:t>
      </w:r>
      <w:r>
        <w:rPr>
          <w:rFonts w:ascii="Times New Roman" w:hAnsi="Times New Roman" w:cs="Times New Roman"/>
          <w:sz w:val="24"/>
          <w:szCs w:val="24"/>
          <w:highlight w:val="none"/>
        </w:rPr>
        <w:t>г. Показатели отражены на основании данных об обязательствах, подлежащих исполнению в 2022 году (п.п.68, 69 Инструкции №191н). Отчёт заполнен в порядке, приведённом в п.п.70, 71 - 73 Инструкции №191н.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По разделу 1 «Бюджетные обязательства текущего (отчётного) финансового года по расходам» заполнение: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- графы 4 в части доведённых бюджетных ассигнований осуществлялось на основании данных по кредитовому обороту соответствующих счетов аналитического учёта счета 150313000 «Бюджетные ассигнования получателей бюджетных средств и администраторов выплат по источникам текущего финансового года» (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45677058,25 </w:t>
      </w:r>
      <w:r>
        <w:rPr>
          <w:rFonts w:ascii="Times New Roman" w:hAnsi="Times New Roman"/>
          <w:sz w:val="24"/>
          <w:szCs w:val="24"/>
          <w:highlight w:val="none"/>
        </w:rPr>
        <w:t>руб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/>
          <w:sz w:val="24"/>
          <w:szCs w:val="24"/>
          <w:highlight w:val="none"/>
        </w:rPr>
        <w:t>);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- графы 5 - отражались показатели лимитов бюджетных обязательств, доведённых себе как получателю бюджетных средств за отчётный период с учётом изменений: кредит соответствующих счетов аналитического учёта счета 150113000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учёта счета 150115000 «Полученные лимиты бюджетных обязательств (на текущий финансовый год)» (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45677058,25 </w:t>
      </w:r>
      <w:r>
        <w:rPr>
          <w:rFonts w:ascii="Times New Roman" w:hAnsi="Times New Roman"/>
          <w:sz w:val="24"/>
          <w:szCs w:val="24"/>
          <w:highlight w:val="none"/>
        </w:rPr>
        <w:t>руб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/>
          <w:sz w:val="24"/>
          <w:szCs w:val="24"/>
          <w:highlight w:val="none"/>
        </w:rPr>
        <w:t>). Нарушений не установлено.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Бюджетные ассигнования по расходам в сумме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45677058,25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руб., утверждённые Приказом Финансового управления МО «Ахтубинский район» от 29.12.2023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г. №176-С «Об утверждении сводной бюджетной росписи бюджета муниципального образования «Ахтубинский муниципальный район Астраханской области» на 2023 год и плановый период 2024 и 2025 годов» соответствуют гр. 4, 5 раздела 1 «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"consultantplus://offline/ref=4D973BE1B9845E6C6757B7A303DB4D29A2999F46B219EB80A89B45DBBAE6BD776605CB2664E1C3F48DD924C9E97291BBF162BF4D5395BDk764J"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Бюджетные обязательства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текущего (отчётного) финансового года по расходам» Отчёта (ф.0503128).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п.70.1 в целях формирования сводного Отчёта (ф.0503128) дополнительно сформирован отчёт (ф.0503128 о бюджетных назначениях) в части граф 4 и 5 на суммы нераспределенных бюджетных назначений (бюджетных ассигнований, лимитов бюджетных обязательств). Нарушений не выявлено.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4.7.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(ф.0503130, далее Баланс).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Баланс содержит данные о нефинансовых и финансовых активах, обязательствах на первый и последний день отчётного периода по счетам бюджетного учёта.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п.13 Инструкции №191н показатели в Балансе отражены в разрезе бюджетной деятельности (графы 3, 6), средств во временном распоряжении (графы 4, 7) и итогового показателя (графы 5, 8) на начало года (графы 3, 4, 5) и конец отчётного периода (графы 6, 7, 8).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Во исполнение п.14-15 Инструкции №191н в Балансе в графах «На начало года» показаны данные стоимости активов, обязательств, финансовом результате на начало года, которые соответствуют данным граф «На конец отчётного периода» предыдущего года. В графах «На конец отчётного периода» отражены данные по состоянию на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г. с учётом проведённых при завершении финансового года заключительных оборотов по счетам бюджетного учёта.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строки 700 Баланса соответствуют идентичным показателям строки 350.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Данные Баланса сопоставимы с показателями сведений о движении нефинансовых активов (ф.0503168) и сведений по дебиторской и кредиторской задолженности (ф.0503169).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составе Баланса сформирована справка о наличии имущества и обязательств на забалансовых счетах на начало и конец периода (основные средства в эксплуатации на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- 98674,54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>).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4.7.1. В соответствии с п.32 Приказа от 31.12.2016 №257н стоимость объекта основных средств переносится на расходы (на уменьшение финансового результата) посредством равномерного начисления амортизации в течение срока его полезного использования.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/>
          <w:i/>
          <w:iCs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lang w:eastAsia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en-US" w:eastAsia="ru-RU"/>
        </w:rPr>
        <w:t xml:space="preserve"> ходе проверки выявлено, что по состоянию на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lang w:eastAsia="ru-RU"/>
        </w:rPr>
        <w:t xml:space="preserve"> 01.01.2024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en-US" w:eastAsia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lang w:eastAsia="ru-RU"/>
        </w:rPr>
        <w:t>г.</w:t>
      </w:r>
      <w:r>
        <w:rPr>
          <w:rFonts w:hint="default" w:ascii="Times New Roman" w:hAnsi="Times New Roman"/>
          <w:i/>
          <w:iCs/>
          <w:sz w:val="24"/>
          <w:szCs w:val="24"/>
          <w:highlight w:val="none"/>
          <w:lang w:val="ru-RU"/>
        </w:rPr>
        <w:t xml:space="preserve"> амортизация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  <w:t xml:space="preserve"> по сч. 104.34 </w:t>
      </w:r>
      <w:r>
        <w:rPr>
          <w:rFonts w:hint="default" w:ascii="Times New Roman" w:hAnsi="Times New Roman"/>
          <w:i/>
          <w:iCs/>
          <w:sz w:val="24"/>
          <w:szCs w:val="24"/>
          <w:highlight w:val="none"/>
          <w:lang w:val="ru-RU"/>
        </w:rPr>
        <w:t>"Амортизация машины и оборудования» и 104.36 "Амортизация инвентаря производственного и хозяйственного» не начислена.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</w:rPr>
        <w:t xml:space="preserve">Таким образом, в нарушение ст.13 ФЗ №402-ФЗ, п.7 Инструкции №191н, п.38 Инструкции №157н и </w:t>
      </w: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  <w:lang w:eastAsia="zh-CN"/>
        </w:rPr>
        <w:t>п.32, п.3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  <w:lang w:val="ru-RU" w:eastAsia="zh-CN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  <w:lang w:eastAsia="zh-CN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  <w:lang w:eastAsia="ru-RU"/>
        </w:rPr>
        <w:t>Приказа от 31.12.2016 №257н</w:t>
      </w: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</w:rPr>
        <w:t xml:space="preserve"> допущено нарушение требований к бюджетному (бухгалтерскому) учёту, повлёкшее представление бюджетной отчётности, содержащей искажение показателей бюджетной отчётности по состоянию на 01.01.202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</w:rPr>
        <w:t xml:space="preserve"> на общую сумму 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  <w:lang w:val="ru-RU"/>
        </w:rPr>
        <w:t>68835,71</w:t>
      </w: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</w:rPr>
        <w:t xml:space="preserve"> руб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  <w:lang w:val="ru-RU"/>
        </w:rPr>
        <w:t>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/>
          <w:b/>
          <w:bCs/>
          <w:i/>
          <w:iCs/>
          <w:sz w:val="24"/>
          <w:szCs w:val="24"/>
          <w:lang w:val="ru-RU"/>
        </w:rPr>
      </w:pP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  <w:t xml:space="preserve">В Контрольно-счетную </w:t>
      </w:r>
      <w:r>
        <w:rPr>
          <w:rFonts w:hint="default" w:ascii="Times New Roman" w:hAnsi="Times New Roman" w:eastAsia="SimSun"/>
          <w:i/>
          <w:iCs/>
          <w:color w:val="000000"/>
          <w:sz w:val="22"/>
          <w:szCs w:val="22"/>
          <w:highlight w:val="none"/>
          <w:lang w:val="ru-RU" w:eastAsia="zh-CN"/>
        </w:rPr>
        <w:t xml:space="preserve">палату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  <w:t>в период проверки предоставлены Сведения об изменении валюты баланса (ф.0503173) на конец отчётного периода 2023 года с кодом причины 03 (исправление ошибок прошлых лет), произведена корректировка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  <w:t>: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  <w:t>- уменьшение стоимости основных средств (код стр. 020) - 68835,71 руб.;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  <w:t>- амортизация основных средств (код стр. 021) - 68835,71 руб.;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  <w:t>- основные средства (остаточная стоимость, стр 010-стр.020) - (-68835,71 руб.);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  <w:t xml:space="preserve">-Итого по разделу 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en-US"/>
        </w:rPr>
        <w:t xml:space="preserve">I- 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  <w:t>(-68835,71 руб.);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en-US"/>
        </w:rPr>
        <w:t xml:space="preserve"> 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en-US"/>
        </w:rPr>
        <w:t xml:space="preserve">- 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  <w:t>БАЛАНС(стр.190+стр.340) - (-68835,71 руб.);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  <w:t>- финансовый результат - (-68835,71 руб.);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  <w:t>- финансовый результат экономического субъекта - (-68835,71 руб.);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en-US"/>
        </w:rPr>
        <w:t xml:space="preserve">- 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  <w:t>БАЛАНС(стр.550+стр.560) - (-68835,71 руб.).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</w:pP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  <w:t xml:space="preserve">4.7.2.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онтрольно-счетная палата отмечает,что в связи с вступлением в силу с 1 января 2023 года редакции Налогового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instrText xml:space="preserve">HYPERLINK https://login.consultant.ru/link/?req=doc&amp;base=LAW&amp;n=454148 </w:instrTex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кодекса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Российской Федерации, предусматривающей новый порядок исполнения налоговых обязательств налогоплательщиками, плательщиками сбора, плательщиками страховых взносов, налоговыми агентами путём перечисления денежных средств в бюджетную систему Российской Федерации на счет Федерального казначейства в качестве единого налогового платежа (далее - ЕНП),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instrText xml:space="preserve">HYPERLINK https://login.consultant.ru/link/?req=doc&amp;base=LAW&amp;n=436432 </w:instrTex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приказом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Министерства финансов Российской Федерации от 21 декабря 2022 г. N 192н «О внесении изменений в приказ Министерства финансов Российской Федерации от 1 декабря 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применению"(далее - Приказ N 192н) внесены изменения в Единый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instrText xml:space="preserve">HYPERLINK https://login.consultant.ru/link/?req=doc&amp;base=LAW&amp;n=450185&amp;dst=520 </w:instrTex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план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счетов бухгалтерского учёта для органов государственной власти и Инструкцию N 157н).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едены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новые счета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(п.83 Приказа от 21.12.2022 г. №192н)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- 0 303 14 000 "Расчеты по единому налоговому платежу";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- 0 303 15 000 "Расчеты по единому страховому тарифу".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https://login.consultant.ru/link/?req=doc&amp;base=LAW&amp;n=450185&amp;dst=11582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b/>
          <w:color w:val="0000FF"/>
          <w:sz w:val="24"/>
          <w:szCs w:val="24"/>
        </w:rPr>
        <w:t>Счет 0 303 14 000</w:t>
      </w:r>
      <w:r>
        <w:rPr>
          <w:rFonts w:hint="default" w:ascii="Times New Roman" w:hAnsi="Times New Roman" w:eastAsia="Times New Roman"/>
          <w:b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b/>
          <w:sz w:val="24"/>
          <w:szCs w:val="24"/>
        </w:rPr>
        <w:t xml:space="preserve"> -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предназначен для перечисления в доход бюджета сумм налогов, сборов, страховых взносов и иных обязательных платежей, входящих в состав 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https://login.consultant.ru/link/?req=doc&amp;base=PBUN&amp;n=90&amp;dst=100012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</w:rPr>
        <w:t>ЕНП</w:t>
      </w:r>
      <w:r>
        <w:rPr>
          <w:rFonts w:hint="default" w:ascii="Times New Roman" w:hAnsi="Times New Roman" w:eastAsia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</w:rPr>
        <w:t xml:space="preserve"> (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https://login.consultant.ru/link/?req=doc&amp;base=LAW&amp;n=448974&amp;dst=32929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</w:rPr>
        <w:t>п. 104</w:t>
      </w:r>
      <w:r>
        <w:rPr>
          <w:rFonts w:hint="default" w:ascii="Times New Roman" w:hAnsi="Times New Roman" w:eastAsia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</w:rPr>
        <w:t xml:space="preserve"> Инструкции N 162н, 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https://login.consultant.ru/link/?req=doc&amp;base=QSBO&amp;n=24389&amp;dst=100010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</w:rPr>
        <w:t>Письмо</w:t>
      </w:r>
      <w:r>
        <w:rPr>
          <w:rFonts w:hint="default" w:ascii="Times New Roman" w:hAnsi="Times New Roman" w:eastAsia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</w:rPr>
        <w:t xml:space="preserve"> Минфина России от 14.09.2023 N 02-07-10/88219)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FF"/>
          <w:sz w:val="24"/>
          <w:szCs w:val="24"/>
          <w:lang w:val="ru-RU"/>
        </w:rPr>
        <w:t>Счет 0 303 15 000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- предназначен для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отраж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ения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расчет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ов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по страховым взносам на ОПС, ОМС и на случай ВНиМ, , входящих в состав 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https://login.consultant.ru/link/?req=doc&amp;base=PBUN&amp;n=90&amp;dst=100012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</w:rPr>
        <w:t>ЕНП</w:t>
      </w:r>
      <w:r>
        <w:rPr>
          <w:rFonts w:hint="default" w:ascii="Times New Roman" w:hAnsi="Times New Roman" w:eastAsia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https://login.consultant.ru/link/?req=doc&amp;base=LAW&amp;n=448974&amp;dst=32929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</w:rPr>
        <w:t>п. 104</w:t>
      </w:r>
      <w:r>
        <w:rPr>
          <w:rFonts w:hint="default" w:ascii="Times New Roman" w:hAnsi="Times New Roman" w:eastAsia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</w:rPr>
        <w:t xml:space="preserve"> Инструкции N 162н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eastAsia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Уменьшение расчётов с бюджетом по единому страховому тарифу отражается на основании документа налогового органа о принадлежности сумм денежных средств (Письма Минфина России от 22.09.2023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instrText xml:space="preserve">HYPERLINK https://login.consultant.ru/link/?req=doc&amp;base=QSBO&amp;n=24404&amp;dst=100010 </w:instrTex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N 02-06-10/90743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, от 14.09.2023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instrText xml:space="preserve">HYPERLINK https://login.consultant.ru/link/?req=doc&amp;base=QSBO&amp;n=24389&amp;dst=100010 </w:instrTex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N 02-07-10/88219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целях корректного раскрытия в бюджетной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бухгалтерской отчетности информации о расчетах по налогам (сборам), уплачиваемым посредством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ЕНП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субъектам учета необходимо регулярно осуществлять сверку данных с налоговыми органами с учетом рекомендаций, доведенных Минфином России 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https://login.consultant.ru/link/?req=doc&amp;base=LAW&amp;n=451640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color w:val="0000FF"/>
          <w:sz w:val="24"/>
          <w:szCs w:val="24"/>
        </w:rPr>
        <w:t>письмом</w:t>
      </w:r>
      <w:r>
        <w:rPr>
          <w:rFonts w:hint="default" w:ascii="Times New Roman" w:hAnsi="Times New Roman" w:eastAsia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</w:rPr>
        <w:t xml:space="preserve"> от 30 июня 2023 г. N 02-07-07/60961.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В ходе проверки выявлено, что на 01.01.2024 г. у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меньшение расчётов с бюджетом по единому страховому тарифу произведено без сверки с налоговым органом.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709"/>
        <w:jc w:val="both"/>
        <w:textAlignment w:val="auto"/>
        <w:rPr>
          <w:rFonts w:hint="default" w:ascii="Times New Roman" w:hAnsi="Times New Roman" w:eastAsia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i/>
          <w:iCs/>
          <w:sz w:val="24"/>
          <w:szCs w:val="24"/>
          <w:lang w:val="ru-RU"/>
        </w:rPr>
        <w:t>Контрольно-счетная палата рекомендует в целях корректного раскрытия в бюджетной и бухгалтерской отчетности информации о расчетах по налогам (сборам) регулярно осуществлять сверку данных с налоговыми органами с учетом рекомендаций, доведенных Минфином России письмом от 30 июня 2023 г. N 02-07-07/60961.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4.8. Пояснительная записка (ф.0503160).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п.152 Инструкции №191н пояснительная записка составлена в разрезе следующих разделов: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Раздел 1 «Организационная структура субъекта бюджетной отчётности» содержит: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Сведения, характеризующие организационную структуру, информацию об открытых бюджетных счетах, о направлениях деятельности и нормативных документах, на основании которых составлена годовая отчётность. 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</w:pPr>
      <w:r>
        <w:rPr>
          <w:rFonts w:hint="default"/>
          <w:highlight w:val="none"/>
          <w:lang w:val="ru-RU"/>
        </w:rPr>
        <w:t>«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"https://login.consultant.ru/link/?req=doc&amp;base=LAW&amp;n=467434&amp;dst=17781" </w:instrText>
      </w:r>
      <w:r>
        <w:rPr>
          <w:highlight w:val="none"/>
        </w:rPr>
        <w:fldChar w:fldCharType="separate"/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Сведения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о направлениях деятельности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»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(Таблица №1) - имеет нулевые значения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.</w:t>
      </w:r>
    </w:p>
    <w:p>
      <w:pPr>
        <w:spacing w:after="0" w:line="240" w:lineRule="auto"/>
        <w:ind w:firstLine="539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hint="default"/>
          <w:highlight w:val="none"/>
          <w:lang w:val="ru-RU"/>
        </w:rPr>
        <w:t>«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"https://login.consultant.ru/link/?req=doc&amp;base=LAW&amp;n=467434&amp;dst=26189" </w:instrText>
      </w:r>
      <w:r>
        <w:rPr>
          <w:highlight w:val="none"/>
        </w:rPr>
        <w:fldChar w:fldCharType="separate"/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Сведения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об организационной структуре субъекта бюджетной отчётности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»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(Таблица №11) - не предоставляется ГРБС, согласно п. 159.4 Инструкции №191н.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2"/>
          <w:szCs w:val="12"/>
          <w:highlight w:val="green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Раздел 2 «Результаты деятельности субъекта бюджетной отчётности»: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«</w:t>
      </w:r>
      <w:r>
        <w:rPr>
          <w:rFonts w:ascii="Times New Roman" w:hAnsi="Times New Roman"/>
          <w:sz w:val="24"/>
          <w:szCs w:val="24"/>
          <w:highlight w:val="none"/>
        </w:rPr>
        <w:t>Сведения о результатах деятельности субъекта бюджетной отчётности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»</w:t>
      </w:r>
      <w:r>
        <w:rPr>
          <w:rFonts w:ascii="Times New Roman" w:hAnsi="Times New Roman"/>
          <w:sz w:val="24"/>
          <w:szCs w:val="24"/>
          <w:highlight w:val="none"/>
        </w:rPr>
        <w:t xml:space="preserve"> (Таблица №12) -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не предоставляется ГРБС, согласно п. 159.5 Инструкции №191н.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Представлена информация о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техническом оснащении, методах амортизации, материальных запасах и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нефинансовых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активах.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2"/>
          <w:szCs w:val="12"/>
          <w:highlight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Раздел 3 «Анализ отчёта об исполнении бюджета субъектом бюджетной отчётности» содержит:</w:t>
      </w:r>
    </w:p>
    <w:p>
      <w:pPr>
        <w:spacing w:after="0" w:line="240" w:lineRule="auto"/>
        <w:ind w:firstLine="539"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об исполнении текстовых статей закона (решения) о бюджете (Таблица №3)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-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име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ет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нулевые значения. 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об исполнении бюджета (ф.0503164) составлены на основе показателей отчёта об исполнении бюджета (ф.0503127), процент исполнения по расходам -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99,85</w:t>
      </w:r>
      <w:r>
        <w:rPr>
          <w:rFonts w:ascii="Times New Roman" w:hAnsi="Times New Roman"/>
          <w:sz w:val="24"/>
          <w:szCs w:val="24"/>
          <w:highlight w:val="none"/>
        </w:rPr>
        <w:t xml:space="preserve">%. 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об исполнении мероприятий в рамках целевых программ (ф.0503166)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-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име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е</w:t>
      </w:r>
      <w:r>
        <w:rPr>
          <w:rFonts w:ascii="Times New Roman" w:hAnsi="Times New Roman" w:eastAsia="Times New Roman"/>
          <w:sz w:val="24"/>
          <w:szCs w:val="24"/>
          <w:highlight w:val="none"/>
        </w:rPr>
        <w:t>т нулевые значения</w:t>
      </w:r>
      <w:r>
        <w:rPr>
          <w:rFonts w:ascii="Times New Roman" w:hAnsi="Times New Roman"/>
          <w:sz w:val="24"/>
          <w:szCs w:val="24"/>
          <w:highlight w:val="none"/>
        </w:rPr>
        <w:t>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 целевых иностранных кредитах (ф.0503167)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-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име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е</w:t>
      </w:r>
      <w:r>
        <w:rPr>
          <w:rFonts w:ascii="Times New Roman" w:hAnsi="Times New Roman" w:eastAsia="Times New Roman"/>
          <w:sz w:val="24"/>
          <w:szCs w:val="24"/>
          <w:highlight w:val="none"/>
        </w:rPr>
        <w:t>т нулевые значения.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b/>
          <w:sz w:val="12"/>
          <w:szCs w:val="12"/>
          <w:highlight w:val="green"/>
          <w:lang w:val="ru-RU"/>
        </w:rPr>
      </w:pPr>
      <w:r>
        <w:rPr>
          <w:rFonts w:ascii="Times New Roman" w:hAnsi="Times New Roman"/>
          <w:sz w:val="24"/>
          <w:szCs w:val="24"/>
          <w:highlight w:val="none"/>
        </w:rPr>
        <w:t>Анализ отчёта об исполнении бюджета субъектом бюджетной отчётности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(Таблица №13)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-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име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е</w:t>
      </w:r>
      <w:r>
        <w:rPr>
          <w:rFonts w:ascii="Times New Roman" w:hAnsi="Times New Roman" w:eastAsia="Times New Roman"/>
          <w:sz w:val="24"/>
          <w:szCs w:val="24"/>
          <w:highlight w:val="none"/>
        </w:rPr>
        <w:t>т нулевые значения.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Раздел 4 «Анализ показателей бухгалтерской отчётности субъекта бюджетной отчётности»:</w:t>
      </w:r>
    </w:p>
    <w:p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Во исполнение п.166 Инструкции №191н к пояснительной записке приложена ф.0503168 и содержит обобщённые за 2022 год данные о движении нефинансовых активов. Стоимость нефинансовых активов по состоянию на 01.01.2022г. и 01.01.2023 г. составила в разрезе счетов бюджетного учёта: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010100 «Основные средства» - 902019,68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902019,68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>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010400 «Амортизация» - 827299,68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827299,68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>;</w:t>
      </w:r>
    </w:p>
    <w:p>
      <w:pPr>
        <w:pStyle w:val="15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eastAsia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В нарушение</w:t>
      </w: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  <w:lang w:eastAsia="ar-SA"/>
        </w:rPr>
        <w:t xml:space="preserve">ч.1 ст.13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  <w:t>ФЗ №402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  <w:lang w:eastAsia="ar-SA"/>
        </w:rPr>
        <w:t>-ФЗ, п.7. п.166 Инструкции №191н.</w:t>
      </w: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</w:rPr>
        <w:t xml:space="preserve"> до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пущено  нарушение правил ведения бухгалтерского учёта, выразившееся в искажении суммы показателей отчёта ф.0513168 «</w:t>
      </w:r>
      <w:r>
        <w:rPr>
          <w:rFonts w:ascii="Times New Roman" w:hAnsi="Times New Roman" w:eastAsia="Times New Roman"/>
          <w:b/>
          <w:bCs/>
          <w:i/>
          <w:iCs/>
          <w:sz w:val="24"/>
          <w:szCs w:val="24"/>
          <w:lang w:eastAsia="ru-RU"/>
        </w:rPr>
        <w:t>Сведения о движении нефинансовых активов», а именно: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i/>
          <w:sz w:val="24"/>
          <w:szCs w:val="24"/>
          <w:lang w:eastAsia="ru-RU"/>
        </w:rPr>
        <w:t xml:space="preserve">- стр. 050 «1.2 Амортизация основных средств» на сумму </w:t>
      </w:r>
      <w:r>
        <w:rPr>
          <w:rFonts w:hint="default" w:ascii="Times New Roman" w:hAnsi="Times New Roman" w:eastAsia="Times New Roman"/>
          <w:b/>
          <w:bCs/>
          <w:i/>
          <w:sz w:val="24"/>
          <w:szCs w:val="24"/>
          <w:lang w:val="en-US" w:eastAsia="ru-RU"/>
        </w:rPr>
        <w:t>68835,71</w:t>
      </w:r>
      <w:r>
        <w:rPr>
          <w:rFonts w:ascii="Times New Roman" w:hAnsi="Times New Roman" w:eastAsia="Times New Roman"/>
          <w:b/>
          <w:bCs/>
          <w:i/>
          <w:sz w:val="24"/>
          <w:szCs w:val="24"/>
          <w:lang w:eastAsia="ru-RU"/>
        </w:rPr>
        <w:t xml:space="preserve"> руб</w:t>
      </w:r>
      <w:r>
        <w:rPr>
          <w:rFonts w:hint="default" w:ascii="Times New Roman" w:hAnsi="Times New Roman" w:eastAsia="Times New Roman"/>
          <w:b/>
          <w:bCs/>
          <w:i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/>
          <w:b/>
          <w:bCs/>
          <w:i/>
          <w:sz w:val="24"/>
          <w:szCs w:val="24"/>
          <w:lang w:eastAsia="ru-RU"/>
        </w:rPr>
        <w:t>;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/>
          <w:b/>
          <w:bCs/>
          <w:i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/>
          <w:bCs/>
          <w:i/>
          <w:sz w:val="24"/>
          <w:szCs w:val="24"/>
          <w:lang w:eastAsia="ru-RU"/>
        </w:rPr>
        <w:t xml:space="preserve">- стр. 054 «Амортизация машин и оборудования» на сумму </w:t>
      </w:r>
      <w:r>
        <w:rPr>
          <w:rFonts w:hint="default" w:ascii="Times New Roman" w:hAnsi="Times New Roman" w:eastAsia="Times New Roman"/>
          <w:b/>
          <w:bCs/>
          <w:i/>
          <w:sz w:val="24"/>
          <w:szCs w:val="24"/>
          <w:lang w:val="en-US" w:eastAsia="ru-RU"/>
        </w:rPr>
        <w:t>40990,00</w:t>
      </w:r>
      <w:r>
        <w:rPr>
          <w:rFonts w:ascii="Times New Roman" w:hAnsi="Times New Roman" w:eastAsia="Times New Roman"/>
          <w:b/>
          <w:bCs/>
          <w:i/>
          <w:sz w:val="24"/>
          <w:szCs w:val="24"/>
          <w:lang w:eastAsia="ru-RU"/>
        </w:rPr>
        <w:t xml:space="preserve"> руб</w:t>
      </w:r>
      <w:r>
        <w:rPr>
          <w:rFonts w:hint="default" w:ascii="Times New Roman" w:hAnsi="Times New Roman" w:eastAsia="Times New Roman"/>
          <w:b/>
          <w:bCs/>
          <w:i/>
          <w:sz w:val="24"/>
          <w:szCs w:val="24"/>
          <w:lang w:val="en-US" w:eastAsia="ru-RU"/>
        </w:rPr>
        <w:t>.;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/>
          <w:b/>
          <w:bCs/>
          <w:i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/>
          <w:b/>
          <w:bCs/>
          <w:i/>
          <w:sz w:val="24"/>
          <w:szCs w:val="24"/>
          <w:lang w:val="ru-RU" w:eastAsia="ru-RU"/>
        </w:rPr>
        <w:t>-стр. 056 «Амортизация инвентаря производственного и хозяйственного» на сумму 27845,71 руб.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110500 «Материальные запасы» - 210498,31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208347,56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>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111600 «Права пользования нематериальными активами» - 42500,00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42500,00 руб.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строк 010 «Основные средства», 050 «Амортизация основных средств», 190 «Материальные запасы», 290 «Права пользования нематериальными активами» гр. 4 «Наличие на начало года» и гр. 11 «Наличие на конец года» сведений о движении нефинансовых активов соответствуют данным Баланса (ф.0503130).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highlight w:val="green"/>
        </w:rPr>
      </w:pPr>
    </w:p>
    <w:p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п.167 Инструкции №191н к пояснительной записке представлена ф.0503169 и составлена раздельно по дебиторской и кредиторской задолженности.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Дебиторская задолженность по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  <w:t>доходам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сч.1.205.00000 на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г. отсутствует.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Дебиторская задолженность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  <w:t>по выплатам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сч.1.206.00000 на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>г. отсутствует.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Сведения о просроченной дебиторской задолженности отсутствуют.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highlight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Кредиторская задолженность на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г. по выплатам сч.1.302.00000 составила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2517,96 </w:t>
      </w:r>
      <w:r>
        <w:rPr>
          <w:rFonts w:ascii="Times New Roman" w:hAnsi="Times New Roman" w:cs="Times New Roman"/>
          <w:sz w:val="24"/>
          <w:szCs w:val="24"/>
          <w:highlight w:val="none"/>
        </w:rPr>
        <w:t>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>, по сч.1.401.60 резерв предстоящих расходов на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211722,87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Сведения о просроченной кредиторской задолженности отсутствуют.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Показатели, отражённые в ф.0503169 соответствуют данным Баланса ф.0503130.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финансовых вложениях получателя бюджетных средств, администратора источников финансирования дефицита бюджета (ф.0503171) - </w:t>
      </w:r>
      <w:r>
        <w:rPr>
          <w:rFonts w:ascii="Times New Roman" w:hAnsi="Times New Roman" w:eastAsia="Times New Roman"/>
          <w:sz w:val="24"/>
          <w:szCs w:val="24"/>
        </w:rPr>
        <w:t>имеют нулевые значения</w:t>
      </w:r>
      <w:r>
        <w:rPr>
          <w:rFonts w:ascii="Times New Roman" w:hAnsi="Times New Roman"/>
          <w:sz w:val="24"/>
          <w:szCs w:val="24"/>
        </w:rPr>
        <w:t>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</w:rPr>
        <w:t>Сведения о государственном (муниципальном) долге, предоставленных бюджетных кредитах (ф. 0503172)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sz w:val="24"/>
          <w:szCs w:val="24"/>
        </w:rPr>
        <w:t>имеют нулевые значения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>Сведения об изменении остатков валюты баланса (ф.0503173)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sz w:val="24"/>
          <w:szCs w:val="24"/>
        </w:rPr>
        <w:t>имеют нулевые значения</w:t>
      </w:r>
      <w:r>
        <w:rPr>
          <w:rFonts w:ascii="Times New Roman" w:hAnsi="Times New Roman"/>
          <w:sz w:val="24"/>
          <w:szCs w:val="24"/>
        </w:rPr>
        <w:t>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 (ф.0503174)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- имеют нулевые значения.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п.170.2 Инструкции №191н к пояснительной записке представлена ф.0503175 и содержит аналитические данные о неисполненных бюджетных обязательствах (</w:t>
      </w:r>
      <w:r>
        <w:rPr>
          <w:rFonts w:hint="default" w:ascii="Times New Roman" w:hAnsi="Times New Roman"/>
          <w:sz w:val="24"/>
          <w:szCs w:val="24"/>
          <w:lang w:val="ru-RU"/>
        </w:rPr>
        <w:t>2518,16</w:t>
      </w:r>
      <w:r>
        <w:rPr>
          <w:rFonts w:ascii="Times New Roman" w:hAnsi="Times New Roman"/>
          <w:sz w:val="24"/>
          <w:szCs w:val="24"/>
        </w:rPr>
        <w:t xml:space="preserve"> руб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), неисполненных денежных обязательствах (</w:t>
      </w:r>
      <w:r>
        <w:rPr>
          <w:rFonts w:hint="default" w:ascii="Times New Roman" w:hAnsi="Times New Roman"/>
          <w:sz w:val="24"/>
          <w:szCs w:val="24"/>
          <w:lang w:val="ru-RU"/>
        </w:rPr>
        <w:t>2517,96 руб.</w:t>
      </w:r>
      <w:r>
        <w:rPr>
          <w:rFonts w:ascii="Times New Roman" w:hAnsi="Times New Roman"/>
          <w:sz w:val="24"/>
          <w:szCs w:val="24"/>
        </w:rPr>
        <w:t>). Показатели, отражённые в ф.0503175 соответствуют данным отчёта ф.0503128.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об остатках денежных средств на счетах получателя бюджетных средств (ф.0503178)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- имеют нулевые значения.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Сведения о вложениях в объекты недвижимого имущества, объектах незавершённого строительства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none"/>
        </w:rPr>
        <w:t>ф.0503190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-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имеет нулевые значения.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«</w:t>
      </w:r>
      <w:r>
        <w:rPr>
          <w:rFonts w:ascii="Times New Roman" w:hAnsi="Times New Roman"/>
          <w:sz w:val="24"/>
          <w:szCs w:val="24"/>
          <w:highlight w:val="none"/>
        </w:rPr>
        <w:t>Анализ показателей отчётности субъекта бюджетной отчётности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»</w:t>
      </w:r>
      <w:r>
        <w:rPr>
          <w:rFonts w:ascii="Times New Roman" w:hAnsi="Times New Roman"/>
          <w:sz w:val="24"/>
          <w:szCs w:val="24"/>
          <w:highlight w:val="none"/>
        </w:rPr>
        <w:t xml:space="preserve"> (Таблица №14)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-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имеет нулевые значения.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«</w:t>
      </w:r>
      <w:r>
        <w:rPr>
          <w:rFonts w:ascii="Times New Roman" w:hAnsi="Times New Roman"/>
          <w:sz w:val="24"/>
          <w:szCs w:val="24"/>
          <w:highlight w:val="none"/>
        </w:rPr>
        <w:t>Причины увеличения просроченной задолженности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»</w:t>
      </w:r>
      <w:r>
        <w:rPr>
          <w:rFonts w:ascii="Times New Roman" w:hAnsi="Times New Roman"/>
          <w:sz w:val="24"/>
          <w:szCs w:val="24"/>
          <w:highlight w:val="none"/>
        </w:rPr>
        <w:t xml:space="preserve"> (Таблица №15)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-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имеет нулевые значения.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  <w:highlight w:val="green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Раздел 5 «Прочие вопросы деятельности субъекта бюджетной отчётности» содержит: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«</w:t>
      </w:r>
      <w:r>
        <w:rPr>
          <w:rFonts w:ascii="Times New Roman" w:hAnsi="Times New Roman"/>
          <w:sz w:val="24"/>
          <w:szCs w:val="24"/>
          <w:highlight w:val="none"/>
        </w:rPr>
        <w:t>Сведения об основных положениях учётной политики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»</w:t>
      </w:r>
      <w:r>
        <w:rPr>
          <w:rFonts w:ascii="Times New Roman" w:hAnsi="Times New Roman"/>
          <w:sz w:val="24"/>
          <w:szCs w:val="24"/>
          <w:highlight w:val="none"/>
        </w:rPr>
        <w:t xml:space="preserve"> (Таблица №4) - в соответствии с пунктом 156 Инструкции №191н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ГРБС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не представляется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«</w:t>
      </w:r>
      <w:r>
        <w:rPr>
          <w:rFonts w:ascii="Times New Roman" w:hAnsi="Times New Roman"/>
          <w:sz w:val="24"/>
          <w:szCs w:val="24"/>
          <w:highlight w:val="none"/>
        </w:rPr>
        <w:t>Сведения о проведении инвентаризаций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»</w:t>
      </w:r>
      <w:r>
        <w:rPr>
          <w:rFonts w:ascii="Times New Roman" w:hAnsi="Times New Roman"/>
          <w:sz w:val="24"/>
          <w:szCs w:val="24"/>
          <w:highlight w:val="none"/>
        </w:rPr>
        <w:t xml:space="preserve"> (Таблица №6)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-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име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е</w:t>
      </w:r>
      <w:r>
        <w:rPr>
          <w:rFonts w:ascii="Times New Roman" w:hAnsi="Times New Roman" w:eastAsia="Times New Roman"/>
          <w:sz w:val="24"/>
          <w:szCs w:val="24"/>
          <w:highlight w:val="none"/>
        </w:rPr>
        <w:t>т нулевые значения.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об исполнении судебных решений по денежным обязательствам бюджета (ф.0503296) -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име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е</w:t>
      </w:r>
      <w:r>
        <w:rPr>
          <w:rFonts w:ascii="Times New Roman" w:hAnsi="Times New Roman" w:eastAsia="Times New Roman"/>
          <w:sz w:val="24"/>
          <w:szCs w:val="24"/>
          <w:highlight w:val="none"/>
        </w:rPr>
        <w:t>т нулевые значения.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hint="default" w:ascii="Times New Roman" w:hAnsi="Times New Roman"/>
          <w:sz w:val="24"/>
          <w:szCs w:val="24"/>
          <w:highlight w:val="none"/>
        </w:rPr>
        <w:t xml:space="preserve">Прочие вопросы деятельности субъекта бюджетной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отчётности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highlight w:val="none"/>
        </w:rPr>
        <w:t xml:space="preserve">Таблица №16)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не предоставляются ГРБС согласно п.159.9 Инструкции №191н.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2"/>
          <w:szCs w:val="12"/>
          <w:highlight w:val="green"/>
        </w:rPr>
      </w:pP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Вывод:</w:t>
      </w:r>
    </w:p>
    <w:p>
      <w:pPr>
        <w:pStyle w:val="15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Оценка полноты и достоверности бюджетной отчётности во всех существенных отношениях проводилась на выборочной основе. Бюджетная отчётность за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 представлена в срок, достоверна, соответствует структуре и бюджетной классификации. </w:t>
      </w:r>
    </w:p>
    <w:p>
      <w:pPr>
        <w:pStyle w:val="15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Нарушений и недостатков, существенно оказавших влияние на полноту отражения показателей отчётности и на достоверность показателей представленной отчётности за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год, не выявлено.</w:t>
      </w:r>
    </w:p>
    <w:p>
      <w:pPr>
        <w:pStyle w:val="15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 w:eastAsiaTheme="minorHAnsi"/>
          <w:i w:val="0"/>
          <w:iCs w:val="0"/>
          <w:sz w:val="24"/>
          <w:szCs w:val="24"/>
          <w:highlight w:val="none"/>
          <w:lang w:val="ru-RU" w:eastAsia="ru-RU" w:bidi="ar-SA"/>
        </w:rPr>
        <w:t xml:space="preserve">В нарушение требований Инструкции №157н, ФЗ №402-ФЗ, п.3.44, 3.48 Методических указаний от 13.06.1995 №49, п.7 Инструкции №191н перед составлением годовой отчетности инвентаризация финансовых активов и обязательств проведена не в полном объеме (акты сверок с контрагентами не представлены), в связи с чем, подтвердить достоверность данных 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  <w:t>по счетам бухгалтерского учета и баланса не представляется возможным.</w:t>
      </w:r>
    </w:p>
    <w:p>
      <w:pPr>
        <w:numPr>
          <w:ilvl w:val="0"/>
          <w:numId w:val="3"/>
        </w:numPr>
        <w:tabs>
          <w:tab w:val="left" w:pos="440"/>
        </w:tabs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В нарушение ст.34 БК РФ допущено неэффективное использование бюджетных средств, произведены расходы по уплате штрафа за нарушение законодательства о налогах и сборах в размере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>2500,00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руб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>лей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</w:p>
    <w:p>
      <w:pPr>
        <w:pStyle w:val="15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leftChars="0" w:firstLine="0" w:firstLineChars="0"/>
        <w:jc w:val="both"/>
        <w:outlineLvl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eastAsia="ru-RU"/>
        </w:rPr>
        <w:t>В</w:t>
      </w: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нарушение ст.13 ФЗ №402-ФЗ, п.7 Инструкции №191н, п.38 Инструкции №157н и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п.32, п.3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>Приказа от 31.12.2016 №257н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допущено нарушение требований к бюджетному (бухгалтерскому) учёту, повлёкшее представление бюджетной отчётности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ф. 0503130 «БАЛАНС»</w:t>
      </w:r>
      <w:r>
        <w:rPr>
          <w:rFonts w:ascii="Times New Roman" w:hAnsi="Times New Roman" w:cs="Times New Roman"/>
          <w:sz w:val="24"/>
          <w:szCs w:val="24"/>
          <w:highlight w:val="none"/>
        </w:rPr>
        <w:t>, содержащей искажение показателей бюджетной отчётности по состоянию на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 общую сумму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68835,71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</w:p>
    <w:p>
      <w:pPr>
        <w:pStyle w:val="15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leftChars="0" w:firstLine="0" w:firstLineChars="0"/>
        <w:jc w:val="both"/>
        <w:outlineLvl w:val="0"/>
        <w:rPr>
          <w:rFonts w:ascii="Times New Roman" w:hAnsi="Times New Roman" w:eastAsia="Times New Roman"/>
          <w:b w:val="0"/>
          <w:bCs w:val="0"/>
          <w:i w:val="0"/>
          <w:iCs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 нарушение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eastAsia="ar-SA"/>
        </w:rPr>
        <w:t xml:space="preserve">ч.1 ст.13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>ФЗ №402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eastAsia="ar-SA"/>
        </w:rPr>
        <w:t>-ФЗ, п.7. п.166 Инструкции №191н.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до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пущено нарушение правил ведения бухгалтерского учёта, выразившееся в искажении суммы показателей отчёта ф.0513168 «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4"/>
          <w:szCs w:val="24"/>
          <w:lang w:eastAsia="ru-RU"/>
        </w:rPr>
        <w:t>Сведения о движении нефинансовых активов», а именно: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b w:val="0"/>
          <w:bCs w:val="0"/>
          <w:i w:val="0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- стр. 050 «1.2 Амортизация основных средств» на сумму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z w:val="24"/>
          <w:szCs w:val="24"/>
          <w:lang w:val="en-US" w:eastAsia="ru-RU"/>
        </w:rPr>
        <w:t>68835,71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руб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4"/>
          <w:szCs w:val="24"/>
          <w:lang w:eastAsia="ru-RU"/>
        </w:rPr>
        <w:t>;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- стр. 054 «Амортизация машин и оборудования» на сумму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z w:val="24"/>
          <w:szCs w:val="24"/>
          <w:lang w:val="en-US" w:eastAsia="ru-RU"/>
        </w:rPr>
        <w:t>40990,00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руб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z w:val="24"/>
          <w:szCs w:val="24"/>
          <w:lang w:val="en-US" w:eastAsia="ru-RU"/>
        </w:rPr>
        <w:t>.;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sz w:val="24"/>
          <w:szCs w:val="24"/>
          <w:lang w:val="ru-RU" w:eastAsia="ru-RU"/>
        </w:rPr>
        <w:t>-стр. 056 «Амортизация инвентаря производственного и хозяйственного» на сумму 27845,71 руб.</w:t>
      </w:r>
    </w:p>
    <w:p>
      <w:pPr>
        <w:pStyle w:val="15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>Рекомендации:</w:t>
      </w:r>
    </w:p>
    <w:p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hint="default" w:ascii="Times New Roman" w:hAnsi="Times New Roman"/>
          <w:i/>
          <w:iCs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Усилить контроль за выполнением требований по заполнению форм бюджетной отчётности, установленных Инструкцией №191н, при составлении годовой бюджетной отчётности.</w:t>
      </w:r>
    </w:p>
    <w:p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целях корректного раскрытия в бюджетной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бухгалтерской отчетности информации о расчетах по налогам (сборам) регулярно осуществлять сверку данных с налоговыми органами с учетом рекомендаций, доведенных Минфином России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instrText xml:space="preserve">HYPERLINK https://login.consultant.ru/link/?req=doc&amp;base=LAW&amp;n=451640 </w:instrTex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письмом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от 30 июня 2023 г. N 02-07-07/60961.</w:t>
      </w:r>
    </w:p>
    <w:p>
      <w:pPr>
        <w:spacing w:after="0" w:line="240" w:lineRule="auto"/>
        <w:ind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ind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Председатель Контрольно-счетной палаты</w:t>
      </w:r>
    </w:p>
    <w:p>
      <w:pPr>
        <w:spacing w:after="0" w:line="240" w:lineRule="auto"/>
        <w:ind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МО «Ахтубинский район»                                                                           Ю.Ю. Журавлева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thinThickSmallGap" w:color="622423" w:themeColor="accent2" w:themeShade="7F" w:sz="24" w:space="1"/>
      </w:pBdr>
      <w:rPr>
        <w:rFonts w:asciiTheme="majorHAnsi" w:hAnsiTheme="majorHAnsi" w:eastAsiaTheme="majorEastAsia" w:cstheme="majorBidi"/>
      </w:rPr>
    </w:pPr>
    <w:r>
      <w:rPr>
        <w:rFonts w:asciiTheme="majorHAnsi" w:hAnsiTheme="majorHAnsi" w:eastAsiaTheme="majorEastAsia" w:cstheme="majorBidi"/>
      </w:rPr>
      <w:t>Заключение Контрольно-счетной палаты МО «Ахтубинский район»</w:t>
    </w:r>
    <w:r>
      <w:rPr>
        <w:rFonts w:asciiTheme="majorHAnsi" w:hAnsiTheme="majorHAnsi" w:eastAsiaTheme="majorEastAsia" w:cstheme="majorBidi"/>
      </w:rPr>
      <w:ptab w:relativeTo="margin" w:alignment="right" w:leader="none"/>
    </w:r>
    <w:r>
      <w:rPr>
        <w:rFonts w:asciiTheme="majorHAnsi" w:hAnsiTheme="majorHAnsi" w:eastAsiaTheme="majorEastAsia" w:cstheme="majorBidi"/>
      </w:rPr>
      <w:t xml:space="preserve">Страница </w:t>
    </w:r>
    <w:r>
      <w:rPr>
        <w:rFonts w:eastAsiaTheme="minorEastAsia"/>
      </w:rPr>
      <w:fldChar w:fldCharType="begin"/>
    </w:r>
    <w:r>
      <w:instrText xml:space="preserve">PAGE   \* MERGEFORMAT</w:instrText>
    </w:r>
    <w:r>
      <w:rPr>
        <w:rFonts w:eastAsiaTheme="minorEastAsia"/>
      </w:rPr>
      <w:fldChar w:fldCharType="separate"/>
    </w:r>
    <w:r>
      <w:rPr>
        <w:rFonts w:asciiTheme="majorHAnsi" w:hAnsiTheme="majorHAnsi" w:eastAsiaTheme="majorEastAsia" w:cstheme="majorBidi"/>
      </w:rPr>
      <w:t>9</w:t>
    </w:r>
    <w:r>
      <w:rPr>
        <w:rFonts w:asciiTheme="majorHAnsi" w:hAnsiTheme="majorHAnsi" w:eastAsiaTheme="majorEastAsia" w:cstheme="majorBidi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32FFFB"/>
    <w:multiLevelType w:val="singleLevel"/>
    <w:tmpl w:val="3332FFFB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46BF50F5"/>
    <w:multiLevelType w:val="multilevel"/>
    <w:tmpl w:val="46BF50F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C1717"/>
    <w:multiLevelType w:val="multilevel"/>
    <w:tmpl w:val="4D5C1717"/>
    <w:lvl w:ilvl="0" w:tentative="0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abstractNum w:abstractNumId="3">
    <w:nsid w:val="5E3948EE"/>
    <w:multiLevelType w:val="singleLevel"/>
    <w:tmpl w:val="5E3948EE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i w:val="0"/>
        <w:iCs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075"/>
    <w:rsid w:val="0000723B"/>
    <w:rsid w:val="00010C2A"/>
    <w:rsid w:val="000160D1"/>
    <w:rsid w:val="00016178"/>
    <w:rsid w:val="0001652B"/>
    <w:rsid w:val="00020CB0"/>
    <w:rsid w:val="00020F50"/>
    <w:rsid w:val="0003028E"/>
    <w:rsid w:val="00032C24"/>
    <w:rsid w:val="000415A4"/>
    <w:rsid w:val="00041D74"/>
    <w:rsid w:val="000437B6"/>
    <w:rsid w:val="0004698F"/>
    <w:rsid w:val="000505E7"/>
    <w:rsid w:val="0005072A"/>
    <w:rsid w:val="00062F8D"/>
    <w:rsid w:val="00067638"/>
    <w:rsid w:val="00067F00"/>
    <w:rsid w:val="00072D46"/>
    <w:rsid w:val="00074470"/>
    <w:rsid w:val="00075D18"/>
    <w:rsid w:val="00084580"/>
    <w:rsid w:val="000906F8"/>
    <w:rsid w:val="000934D1"/>
    <w:rsid w:val="00093BDB"/>
    <w:rsid w:val="00095B72"/>
    <w:rsid w:val="00096C26"/>
    <w:rsid w:val="000A0E5D"/>
    <w:rsid w:val="000A4CA4"/>
    <w:rsid w:val="000B240B"/>
    <w:rsid w:val="000B2F33"/>
    <w:rsid w:val="000B365D"/>
    <w:rsid w:val="000B3DBD"/>
    <w:rsid w:val="000D1EC7"/>
    <w:rsid w:val="000D69B2"/>
    <w:rsid w:val="000E1B75"/>
    <w:rsid w:val="000E6906"/>
    <w:rsid w:val="000F28D6"/>
    <w:rsid w:val="000F3D2A"/>
    <w:rsid w:val="000F441F"/>
    <w:rsid w:val="000F5AC2"/>
    <w:rsid w:val="000F79A9"/>
    <w:rsid w:val="00101C9C"/>
    <w:rsid w:val="00106231"/>
    <w:rsid w:val="0011015C"/>
    <w:rsid w:val="00111C38"/>
    <w:rsid w:val="00112D6E"/>
    <w:rsid w:val="0011310B"/>
    <w:rsid w:val="00113189"/>
    <w:rsid w:val="00117425"/>
    <w:rsid w:val="00122603"/>
    <w:rsid w:val="0012564A"/>
    <w:rsid w:val="00141494"/>
    <w:rsid w:val="00146FAE"/>
    <w:rsid w:val="00147A26"/>
    <w:rsid w:val="001566B9"/>
    <w:rsid w:val="001632F6"/>
    <w:rsid w:val="00164C99"/>
    <w:rsid w:val="00172A27"/>
    <w:rsid w:val="00180229"/>
    <w:rsid w:val="00185F28"/>
    <w:rsid w:val="00193516"/>
    <w:rsid w:val="001A327F"/>
    <w:rsid w:val="001A3703"/>
    <w:rsid w:val="001A587F"/>
    <w:rsid w:val="001A67E8"/>
    <w:rsid w:val="001A731D"/>
    <w:rsid w:val="001B0400"/>
    <w:rsid w:val="001B3612"/>
    <w:rsid w:val="001C0B8F"/>
    <w:rsid w:val="001C3C1C"/>
    <w:rsid w:val="001D40B5"/>
    <w:rsid w:val="001D4FB6"/>
    <w:rsid w:val="001D6111"/>
    <w:rsid w:val="001E5546"/>
    <w:rsid w:val="001E6817"/>
    <w:rsid w:val="001E7933"/>
    <w:rsid w:val="001F5DFD"/>
    <w:rsid w:val="0022190F"/>
    <w:rsid w:val="002307F6"/>
    <w:rsid w:val="002313D8"/>
    <w:rsid w:val="0023161E"/>
    <w:rsid w:val="002324C0"/>
    <w:rsid w:val="00236C1D"/>
    <w:rsid w:val="00246CCE"/>
    <w:rsid w:val="00247EE1"/>
    <w:rsid w:val="0025296E"/>
    <w:rsid w:val="002548F8"/>
    <w:rsid w:val="002631A4"/>
    <w:rsid w:val="00264B14"/>
    <w:rsid w:val="002660E8"/>
    <w:rsid w:val="00271123"/>
    <w:rsid w:val="00272373"/>
    <w:rsid w:val="00282921"/>
    <w:rsid w:val="00285210"/>
    <w:rsid w:val="0029324A"/>
    <w:rsid w:val="002B5B17"/>
    <w:rsid w:val="002C03DC"/>
    <w:rsid w:val="002C2F3B"/>
    <w:rsid w:val="002C33C8"/>
    <w:rsid w:val="002C40BD"/>
    <w:rsid w:val="002D323E"/>
    <w:rsid w:val="002E5F24"/>
    <w:rsid w:val="002E797A"/>
    <w:rsid w:val="002F45B3"/>
    <w:rsid w:val="003044BE"/>
    <w:rsid w:val="00304535"/>
    <w:rsid w:val="00306704"/>
    <w:rsid w:val="00312EBB"/>
    <w:rsid w:val="00322B57"/>
    <w:rsid w:val="0032380F"/>
    <w:rsid w:val="00323D6E"/>
    <w:rsid w:val="003246DF"/>
    <w:rsid w:val="0032733B"/>
    <w:rsid w:val="0034677B"/>
    <w:rsid w:val="00353679"/>
    <w:rsid w:val="00353BEC"/>
    <w:rsid w:val="003625FF"/>
    <w:rsid w:val="00370783"/>
    <w:rsid w:val="0037401C"/>
    <w:rsid w:val="00374E07"/>
    <w:rsid w:val="0037649C"/>
    <w:rsid w:val="0037759E"/>
    <w:rsid w:val="00380756"/>
    <w:rsid w:val="00390834"/>
    <w:rsid w:val="0039451C"/>
    <w:rsid w:val="00394966"/>
    <w:rsid w:val="00394B72"/>
    <w:rsid w:val="00396FA6"/>
    <w:rsid w:val="003A0323"/>
    <w:rsid w:val="003B6982"/>
    <w:rsid w:val="003B7E26"/>
    <w:rsid w:val="003C230A"/>
    <w:rsid w:val="003C7E4B"/>
    <w:rsid w:val="003D0AA8"/>
    <w:rsid w:val="003D333C"/>
    <w:rsid w:val="003D411C"/>
    <w:rsid w:val="003E2A84"/>
    <w:rsid w:val="003E4A34"/>
    <w:rsid w:val="003F2810"/>
    <w:rsid w:val="003F665B"/>
    <w:rsid w:val="00400199"/>
    <w:rsid w:val="0040379B"/>
    <w:rsid w:val="00420379"/>
    <w:rsid w:val="00422F15"/>
    <w:rsid w:val="00423373"/>
    <w:rsid w:val="00423683"/>
    <w:rsid w:val="004237BF"/>
    <w:rsid w:val="00424B06"/>
    <w:rsid w:val="00424C42"/>
    <w:rsid w:val="004251EE"/>
    <w:rsid w:val="004269EB"/>
    <w:rsid w:val="00431141"/>
    <w:rsid w:val="0043138B"/>
    <w:rsid w:val="004324DD"/>
    <w:rsid w:val="00436A16"/>
    <w:rsid w:val="00441DE0"/>
    <w:rsid w:val="00442CFF"/>
    <w:rsid w:val="00444D58"/>
    <w:rsid w:val="004455BD"/>
    <w:rsid w:val="00446089"/>
    <w:rsid w:val="004565D6"/>
    <w:rsid w:val="00457BED"/>
    <w:rsid w:val="00462EEB"/>
    <w:rsid w:val="00471974"/>
    <w:rsid w:val="00472D97"/>
    <w:rsid w:val="0048141D"/>
    <w:rsid w:val="004859B1"/>
    <w:rsid w:val="004866F9"/>
    <w:rsid w:val="0049185B"/>
    <w:rsid w:val="0049277A"/>
    <w:rsid w:val="00495FF6"/>
    <w:rsid w:val="004A2E77"/>
    <w:rsid w:val="004A5403"/>
    <w:rsid w:val="004A566B"/>
    <w:rsid w:val="004C20A3"/>
    <w:rsid w:val="004C5694"/>
    <w:rsid w:val="004C659E"/>
    <w:rsid w:val="004C71D8"/>
    <w:rsid w:val="004D15FA"/>
    <w:rsid w:val="004D65AB"/>
    <w:rsid w:val="004D6DC6"/>
    <w:rsid w:val="004D6FA7"/>
    <w:rsid w:val="004D7F62"/>
    <w:rsid w:val="004E1C0D"/>
    <w:rsid w:val="004E2FE3"/>
    <w:rsid w:val="004E3577"/>
    <w:rsid w:val="004E493A"/>
    <w:rsid w:val="004F13F6"/>
    <w:rsid w:val="004F18FE"/>
    <w:rsid w:val="004F39CB"/>
    <w:rsid w:val="004F5C2C"/>
    <w:rsid w:val="00500D73"/>
    <w:rsid w:val="00501BD1"/>
    <w:rsid w:val="00504068"/>
    <w:rsid w:val="005065B5"/>
    <w:rsid w:val="00506B6F"/>
    <w:rsid w:val="00510739"/>
    <w:rsid w:val="00513A60"/>
    <w:rsid w:val="005141D8"/>
    <w:rsid w:val="00516400"/>
    <w:rsid w:val="005300CD"/>
    <w:rsid w:val="00536299"/>
    <w:rsid w:val="00547765"/>
    <w:rsid w:val="00550D3E"/>
    <w:rsid w:val="005548B7"/>
    <w:rsid w:val="0055547C"/>
    <w:rsid w:val="0056133E"/>
    <w:rsid w:val="0056264C"/>
    <w:rsid w:val="00571831"/>
    <w:rsid w:val="00574580"/>
    <w:rsid w:val="005812B1"/>
    <w:rsid w:val="00584F6B"/>
    <w:rsid w:val="00587FEF"/>
    <w:rsid w:val="005B23B6"/>
    <w:rsid w:val="005B3AC4"/>
    <w:rsid w:val="005C1C18"/>
    <w:rsid w:val="005C4F63"/>
    <w:rsid w:val="005C5916"/>
    <w:rsid w:val="005C745A"/>
    <w:rsid w:val="005D1D98"/>
    <w:rsid w:val="005D348E"/>
    <w:rsid w:val="005D3FE7"/>
    <w:rsid w:val="005D74F1"/>
    <w:rsid w:val="005E4A65"/>
    <w:rsid w:val="005F01C9"/>
    <w:rsid w:val="005F518A"/>
    <w:rsid w:val="006078A8"/>
    <w:rsid w:val="006104F4"/>
    <w:rsid w:val="0061661D"/>
    <w:rsid w:val="00623709"/>
    <w:rsid w:val="00623D08"/>
    <w:rsid w:val="00634259"/>
    <w:rsid w:val="006403A8"/>
    <w:rsid w:val="006412FB"/>
    <w:rsid w:val="00650815"/>
    <w:rsid w:val="0065197E"/>
    <w:rsid w:val="00653A7C"/>
    <w:rsid w:val="00654B5A"/>
    <w:rsid w:val="00660ABF"/>
    <w:rsid w:val="00660C28"/>
    <w:rsid w:val="0066182C"/>
    <w:rsid w:val="00662952"/>
    <w:rsid w:val="00664B8A"/>
    <w:rsid w:val="00665D99"/>
    <w:rsid w:val="00666A28"/>
    <w:rsid w:val="006676BD"/>
    <w:rsid w:val="006679B1"/>
    <w:rsid w:val="00676512"/>
    <w:rsid w:val="00686BF3"/>
    <w:rsid w:val="00692433"/>
    <w:rsid w:val="00692DC6"/>
    <w:rsid w:val="00693BE8"/>
    <w:rsid w:val="00693EC4"/>
    <w:rsid w:val="00694123"/>
    <w:rsid w:val="00694993"/>
    <w:rsid w:val="006949BA"/>
    <w:rsid w:val="00695411"/>
    <w:rsid w:val="006A0A8A"/>
    <w:rsid w:val="006A2E9A"/>
    <w:rsid w:val="006A3B09"/>
    <w:rsid w:val="006A635E"/>
    <w:rsid w:val="006B1E44"/>
    <w:rsid w:val="006B614F"/>
    <w:rsid w:val="006B63D0"/>
    <w:rsid w:val="006C4D84"/>
    <w:rsid w:val="006C5EF5"/>
    <w:rsid w:val="006C6435"/>
    <w:rsid w:val="006D19A0"/>
    <w:rsid w:val="006D19ED"/>
    <w:rsid w:val="006D3DF6"/>
    <w:rsid w:val="006D48BD"/>
    <w:rsid w:val="006D730B"/>
    <w:rsid w:val="006D7B8A"/>
    <w:rsid w:val="006E6781"/>
    <w:rsid w:val="006E6E5B"/>
    <w:rsid w:val="006F1907"/>
    <w:rsid w:val="006F4593"/>
    <w:rsid w:val="006F4CE1"/>
    <w:rsid w:val="00706852"/>
    <w:rsid w:val="0071485D"/>
    <w:rsid w:val="0071529E"/>
    <w:rsid w:val="00717302"/>
    <w:rsid w:val="00721AA5"/>
    <w:rsid w:val="00724E79"/>
    <w:rsid w:val="00733014"/>
    <w:rsid w:val="00734DC3"/>
    <w:rsid w:val="00736E4F"/>
    <w:rsid w:val="007400A0"/>
    <w:rsid w:val="00742F1F"/>
    <w:rsid w:val="00744898"/>
    <w:rsid w:val="00744C60"/>
    <w:rsid w:val="007466C4"/>
    <w:rsid w:val="0074673E"/>
    <w:rsid w:val="007606D4"/>
    <w:rsid w:val="007645D2"/>
    <w:rsid w:val="0076499C"/>
    <w:rsid w:val="007727C2"/>
    <w:rsid w:val="007812B3"/>
    <w:rsid w:val="007815DB"/>
    <w:rsid w:val="00781897"/>
    <w:rsid w:val="00782CED"/>
    <w:rsid w:val="0078586F"/>
    <w:rsid w:val="0078605B"/>
    <w:rsid w:val="007867D0"/>
    <w:rsid w:val="00791B90"/>
    <w:rsid w:val="007941EA"/>
    <w:rsid w:val="00795F75"/>
    <w:rsid w:val="0079692A"/>
    <w:rsid w:val="007A0EE6"/>
    <w:rsid w:val="007A36A7"/>
    <w:rsid w:val="007A4526"/>
    <w:rsid w:val="007B2070"/>
    <w:rsid w:val="007B6124"/>
    <w:rsid w:val="007B6FBA"/>
    <w:rsid w:val="007D2C06"/>
    <w:rsid w:val="007D488D"/>
    <w:rsid w:val="007D5BBD"/>
    <w:rsid w:val="007E715A"/>
    <w:rsid w:val="007F5CD0"/>
    <w:rsid w:val="007F61F9"/>
    <w:rsid w:val="00803CD5"/>
    <w:rsid w:val="00811748"/>
    <w:rsid w:val="008121C5"/>
    <w:rsid w:val="0082095D"/>
    <w:rsid w:val="00824C25"/>
    <w:rsid w:val="0082602A"/>
    <w:rsid w:val="00826511"/>
    <w:rsid w:val="00835393"/>
    <w:rsid w:val="00837201"/>
    <w:rsid w:val="00840099"/>
    <w:rsid w:val="0084288B"/>
    <w:rsid w:val="00845E25"/>
    <w:rsid w:val="00854A7A"/>
    <w:rsid w:val="00854F6D"/>
    <w:rsid w:val="00861D8F"/>
    <w:rsid w:val="00862546"/>
    <w:rsid w:val="00862F66"/>
    <w:rsid w:val="008724E1"/>
    <w:rsid w:val="00872DA7"/>
    <w:rsid w:val="00882F05"/>
    <w:rsid w:val="00883235"/>
    <w:rsid w:val="008841BD"/>
    <w:rsid w:val="008848DF"/>
    <w:rsid w:val="00884A07"/>
    <w:rsid w:val="00890B1C"/>
    <w:rsid w:val="00890C72"/>
    <w:rsid w:val="00895D49"/>
    <w:rsid w:val="00897511"/>
    <w:rsid w:val="008A25C5"/>
    <w:rsid w:val="008A36B8"/>
    <w:rsid w:val="008A5F33"/>
    <w:rsid w:val="008A6779"/>
    <w:rsid w:val="008C4D98"/>
    <w:rsid w:val="008C5496"/>
    <w:rsid w:val="008C5856"/>
    <w:rsid w:val="008C77F2"/>
    <w:rsid w:val="008C78FA"/>
    <w:rsid w:val="008D00CC"/>
    <w:rsid w:val="008D0F61"/>
    <w:rsid w:val="008D1A53"/>
    <w:rsid w:val="008F1A85"/>
    <w:rsid w:val="008F4209"/>
    <w:rsid w:val="008F5535"/>
    <w:rsid w:val="008F62B8"/>
    <w:rsid w:val="00906692"/>
    <w:rsid w:val="00912C97"/>
    <w:rsid w:val="00924889"/>
    <w:rsid w:val="0093097E"/>
    <w:rsid w:val="00931B7B"/>
    <w:rsid w:val="0093226A"/>
    <w:rsid w:val="009322A7"/>
    <w:rsid w:val="00933A63"/>
    <w:rsid w:val="009349F5"/>
    <w:rsid w:val="00935A80"/>
    <w:rsid w:val="00942AE8"/>
    <w:rsid w:val="00947006"/>
    <w:rsid w:val="009509D9"/>
    <w:rsid w:val="00954627"/>
    <w:rsid w:val="009562E7"/>
    <w:rsid w:val="00957B48"/>
    <w:rsid w:val="00964B77"/>
    <w:rsid w:val="00967BC6"/>
    <w:rsid w:val="00974748"/>
    <w:rsid w:val="00977F9E"/>
    <w:rsid w:val="009813F9"/>
    <w:rsid w:val="00981DA8"/>
    <w:rsid w:val="009845D1"/>
    <w:rsid w:val="00984643"/>
    <w:rsid w:val="009873AB"/>
    <w:rsid w:val="009900D0"/>
    <w:rsid w:val="00993194"/>
    <w:rsid w:val="00997AF0"/>
    <w:rsid w:val="009A2834"/>
    <w:rsid w:val="009A4FDB"/>
    <w:rsid w:val="009A5804"/>
    <w:rsid w:val="009A6578"/>
    <w:rsid w:val="009B04A3"/>
    <w:rsid w:val="009B6A4F"/>
    <w:rsid w:val="009C6725"/>
    <w:rsid w:val="009D11F6"/>
    <w:rsid w:val="009D6EE8"/>
    <w:rsid w:val="009D71EF"/>
    <w:rsid w:val="009E0213"/>
    <w:rsid w:val="009E0A1D"/>
    <w:rsid w:val="009E6889"/>
    <w:rsid w:val="009F175A"/>
    <w:rsid w:val="009F6CD5"/>
    <w:rsid w:val="00A05F04"/>
    <w:rsid w:val="00A115E4"/>
    <w:rsid w:val="00A12015"/>
    <w:rsid w:val="00A1238D"/>
    <w:rsid w:val="00A1471A"/>
    <w:rsid w:val="00A17830"/>
    <w:rsid w:val="00A21F15"/>
    <w:rsid w:val="00A220C2"/>
    <w:rsid w:val="00A27CEA"/>
    <w:rsid w:val="00A32A82"/>
    <w:rsid w:val="00A32B83"/>
    <w:rsid w:val="00A36EC2"/>
    <w:rsid w:val="00A36FFC"/>
    <w:rsid w:val="00A5664E"/>
    <w:rsid w:val="00A63038"/>
    <w:rsid w:val="00A65B4C"/>
    <w:rsid w:val="00A65F52"/>
    <w:rsid w:val="00A72445"/>
    <w:rsid w:val="00A73FC1"/>
    <w:rsid w:val="00AC4A6B"/>
    <w:rsid w:val="00AD056F"/>
    <w:rsid w:val="00AD50BD"/>
    <w:rsid w:val="00AD5DEB"/>
    <w:rsid w:val="00AD699D"/>
    <w:rsid w:val="00AE515A"/>
    <w:rsid w:val="00AE79E9"/>
    <w:rsid w:val="00AF0158"/>
    <w:rsid w:val="00AF022E"/>
    <w:rsid w:val="00AF2579"/>
    <w:rsid w:val="00AF54AD"/>
    <w:rsid w:val="00B13270"/>
    <w:rsid w:val="00B17D66"/>
    <w:rsid w:val="00B239DE"/>
    <w:rsid w:val="00B23AA4"/>
    <w:rsid w:val="00B268FE"/>
    <w:rsid w:val="00B271E9"/>
    <w:rsid w:val="00B305A7"/>
    <w:rsid w:val="00B36F62"/>
    <w:rsid w:val="00B37A78"/>
    <w:rsid w:val="00B50E9E"/>
    <w:rsid w:val="00B53877"/>
    <w:rsid w:val="00B53B0D"/>
    <w:rsid w:val="00B543C1"/>
    <w:rsid w:val="00B545F5"/>
    <w:rsid w:val="00B56FE8"/>
    <w:rsid w:val="00B60476"/>
    <w:rsid w:val="00B6064D"/>
    <w:rsid w:val="00B6634E"/>
    <w:rsid w:val="00B718F9"/>
    <w:rsid w:val="00B7249D"/>
    <w:rsid w:val="00B74672"/>
    <w:rsid w:val="00B84673"/>
    <w:rsid w:val="00B87C55"/>
    <w:rsid w:val="00B925E0"/>
    <w:rsid w:val="00B93562"/>
    <w:rsid w:val="00B95E74"/>
    <w:rsid w:val="00BA0366"/>
    <w:rsid w:val="00BA0405"/>
    <w:rsid w:val="00BA3BCD"/>
    <w:rsid w:val="00BA6838"/>
    <w:rsid w:val="00BB5354"/>
    <w:rsid w:val="00BC0C29"/>
    <w:rsid w:val="00BD0783"/>
    <w:rsid w:val="00BD434E"/>
    <w:rsid w:val="00BD4D30"/>
    <w:rsid w:val="00BD5C57"/>
    <w:rsid w:val="00BD7473"/>
    <w:rsid w:val="00BD78A5"/>
    <w:rsid w:val="00BE20F1"/>
    <w:rsid w:val="00BE3597"/>
    <w:rsid w:val="00BE714C"/>
    <w:rsid w:val="00BF1B78"/>
    <w:rsid w:val="00BF6A9A"/>
    <w:rsid w:val="00C04BF2"/>
    <w:rsid w:val="00C06DE4"/>
    <w:rsid w:val="00C07245"/>
    <w:rsid w:val="00C10BA3"/>
    <w:rsid w:val="00C1213D"/>
    <w:rsid w:val="00C176F1"/>
    <w:rsid w:val="00C21B96"/>
    <w:rsid w:val="00C21E65"/>
    <w:rsid w:val="00C24CF5"/>
    <w:rsid w:val="00C265ED"/>
    <w:rsid w:val="00C34E08"/>
    <w:rsid w:val="00C5019E"/>
    <w:rsid w:val="00C54E21"/>
    <w:rsid w:val="00C55AB2"/>
    <w:rsid w:val="00C610B4"/>
    <w:rsid w:val="00C61B28"/>
    <w:rsid w:val="00C64700"/>
    <w:rsid w:val="00C66797"/>
    <w:rsid w:val="00C66BD6"/>
    <w:rsid w:val="00C71300"/>
    <w:rsid w:val="00C77049"/>
    <w:rsid w:val="00C847F6"/>
    <w:rsid w:val="00C86EFA"/>
    <w:rsid w:val="00CB0F39"/>
    <w:rsid w:val="00CB60A9"/>
    <w:rsid w:val="00CC0432"/>
    <w:rsid w:val="00CC66CA"/>
    <w:rsid w:val="00CD2596"/>
    <w:rsid w:val="00CD2787"/>
    <w:rsid w:val="00CD409B"/>
    <w:rsid w:val="00CD5083"/>
    <w:rsid w:val="00CE088A"/>
    <w:rsid w:val="00CE1BB6"/>
    <w:rsid w:val="00CE2BCC"/>
    <w:rsid w:val="00CE67ED"/>
    <w:rsid w:val="00CE7C4D"/>
    <w:rsid w:val="00CF073F"/>
    <w:rsid w:val="00D0345C"/>
    <w:rsid w:val="00D0409D"/>
    <w:rsid w:val="00D058D1"/>
    <w:rsid w:val="00D05D1A"/>
    <w:rsid w:val="00D07955"/>
    <w:rsid w:val="00D11791"/>
    <w:rsid w:val="00D136C0"/>
    <w:rsid w:val="00D154A7"/>
    <w:rsid w:val="00D216AE"/>
    <w:rsid w:val="00D25673"/>
    <w:rsid w:val="00D266D8"/>
    <w:rsid w:val="00D27F37"/>
    <w:rsid w:val="00D3223E"/>
    <w:rsid w:val="00D331E3"/>
    <w:rsid w:val="00D33DF2"/>
    <w:rsid w:val="00D4076D"/>
    <w:rsid w:val="00D4212D"/>
    <w:rsid w:val="00D459BE"/>
    <w:rsid w:val="00D46B5A"/>
    <w:rsid w:val="00D5040C"/>
    <w:rsid w:val="00D525A8"/>
    <w:rsid w:val="00D60EFE"/>
    <w:rsid w:val="00D615D2"/>
    <w:rsid w:val="00D657C1"/>
    <w:rsid w:val="00D70D1B"/>
    <w:rsid w:val="00D748C8"/>
    <w:rsid w:val="00D8705C"/>
    <w:rsid w:val="00D954E3"/>
    <w:rsid w:val="00DB2144"/>
    <w:rsid w:val="00DB3B5E"/>
    <w:rsid w:val="00DB51AD"/>
    <w:rsid w:val="00DB7AE8"/>
    <w:rsid w:val="00DB7E0D"/>
    <w:rsid w:val="00DC2046"/>
    <w:rsid w:val="00DC45FB"/>
    <w:rsid w:val="00DC63EF"/>
    <w:rsid w:val="00DC69B2"/>
    <w:rsid w:val="00DC7085"/>
    <w:rsid w:val="00DC7A82"/>
    <w:rsid w:val="00DD0300"/>
    <w:rsid w:val="00DD1F96"/>
    <w:rsid w:val="00DD58CB"/>
    <w:rsid w:val="00DE2150"/>
    <w:rsid w:val="00DF2214"/>
    <w:rsid w:val="00DF5FEE"/>
    <w:rsid w:val="00E01681"/>
    <w:rsid w:val="00E01EA0"/>
    <w:rsid w:val="00E06505"/>
    <w:rsid w:val="00E13DD6"/>
    <w:rsid w:val="00E27766"/>
    <w:rsid w:val="00E343B0"/>
    <w:rsid w:val="00E34E05"/>
    <w:rsid w:val="00E3590F"/>
    <w:rsid w:val="00E6536F"/>
    <w:rsid w:val="00E67755"/>
    <w:rsid w:val="00E7589C"/>
    <w:rsid w:val="00E76926"/>
    <w:rsid w:val="00E7792B"/>
    <w:rsid w:val="00E83BED"/>
    <w:rsid w:val="00E97E94"/>
    <w:rsid w:val="00EA2E1D"/>
    <w:rsid w:val="00EA5542"/>
    <w:rsid w:val="00EA7F98"/>
    <w:rsid w:val="00EB0406"/>
    <w:rsid w:val="00EC4E5F"/>
    <w:rsid w:val="00EC6167"/>
    <w:rsid w:val="00EE05C0"/>
    <w:rsid w:val="00EF3DE1"/>
    <w:rsid w:val="00EF4287"/>
    <w:rsid w:val="00EF5597"/>
    <w:rsid w:val="00F0197F"/>
    <w:rsid w:val="00F026F2"/>
    <w:rsid w:val="00F03799"/>
    <w:rsid w:val="00F04B4C"/>
    <w:rsid w:val="00F058AC"/>
    <w:rsid w:val="00F101E5"/>
    <w:rsid w:val="00F1036B"/>
    <w:rsid w:val="00F10608"/>
    <w:rsid w:val="00F20B10"/>
    <w:rsid w:val="00F230F5"/>
    <w:rsid w:val="00F244CC"/>
    <w:rsid w:val="00F2525B"/>
    <w:rsid w:val="00F2750F"/>
    <w:rsid w:val="00F31E09"/>
    <w:rsid w:val="00F3500F"/>
    <w:rsid w:val="00F432CB"/>
    <w:rsid w:val="00F62AE8"/>
    <w:rsid w:val="00F637FA"/>
    <w:rsid w:val="00F64442"/>
    <w:rsid w:val="00F744D7"/>
    <w:rsid w:val="00F80E62"/>
    <w:rsid w:val="00F823AD"/>
    <w:rsid w:val="00F84CBB"/>
    <w:rsid w:val="00F900C9"/>
    <w:rsid w:val="00F91D5B"/>
    <w:rsid w:val="00F96B57"/>
    <w:rsid w:val="00FA009F"/>
    <w:rsid w:val="00FA17EA"/>
    <w:rsid w:val="00FA4291"/>
    <w:rsid w:val="00FA51FA"/>
    <w:rsid w:val="00FA6CF4"/>
    <w:rsid w:val="00FA6EAC"/>
    <w:rsid w:val="00FB04CA"/>
    <w:rsid w:val="00FB46C9"/>
    <w:rsid w:val="00FC14E5"/>
    <w:rsid w:val="00FC1B3B"/>
    <w:rsid w:val="00FC4157"/>
    <w:rsid w:val="00FC5219"/>
    <w:rsid w:val="00FC600C"/>
    <w:rsid w:val="00FE14E4"/>
    <w:rsid w:val="00FE3045"/>
    <w:rsid w:val="00FE5AEB"/>
    <w:rsid w:val="00FE5E50"/>
    <w:rsid w:val="00FF109A"/>
    <w:rsid w:val="02986FEA"/>
    <w:rsid w:val="046D7786"/>
    <w:rsid w:val="0768745C"/>
    <w:rsid w:val="077628D4"/>
    <w:rsid w:val="08545039"/>
    <w:rsid w:val="116D7A5E"/>
    <w:rsid w:val="196745DD"/>
    <w:rsid w:val="1F21173F"/>
    <w:rsid w:val="1F694931"/>
    <w:rsid w:val="21487CBD"/>
    <w:rsid w:val="243231D7"/>
    <w:rsid w:val="274556D9"/>
    <w:rsid w:val="2D525E4C"/>
    <w:rsid w:val="2DE74177"/>
    <w:rsid w:val="31EE1E5D"/>
    <w:rsid w:val="33822A0F"/>
    <w:rsid w:val="36086F35"/>
    <w:rsid w:val="39781F03"/>
    <w:rsid w:val="3FBB0422"/>
    <w:rsid w:val="40AC7BA9"/>
    <w:rsid w:val="4CF415EE"/>
    <w:rsid w:val="5346431E"/>
    <w:rsid w:val="57E0232A"/>
    <w:rsid w:val="59FE16E6"/>
    <w:rsid w:val="62543A4F"/>
    <w:rsid w:val="64EF448D"/>
    <w:rsid w:val="66216C1E"/>
    <w:rsid w:val="6834516C"/>
    <w:rsid w:val="763F3213"/>
    <w:rsid w:val="79C0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20"/>
    <w:autoRedefine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4"/>
    <w:autoRedefine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Body Text Indent 2"/>
    <w:basedOn w:val="1"/>
    <w:link w:val="17"/>
    <w:unhideWhenUsed/>
    <w:qFormat/>
    <w:uiPriority w:val="99"/>
    <w:pPr>
      <w:spacing w:after="120" w:line="480" w:lineRule="auto"/>
      <w:ind w:left="283"/>
    </w:pPr>
  </w:style>
  <w:style w:type="table" w:styleId="12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Основной текст Знак"/>
    <w:basedOn w:val="3"/>
    <w:link w:val="8"/>
    <w:autoRedefine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5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6">
    <w:name w:val="Заголовок 1 Знак"/>
    <w:basedOn w:val="3"/>
    <w:link w:val="2"/>
    <w:qFormat/>
    <w:uiPriority w:val="0"/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character" w:customStyle="1" w:styleId="17">
    <w:name w:val="Основной текст с отступом 2 Знак"/>
    <w:basedOn w:val="3"/>
    <w:link w:val="11"/>
    <w:qFormat/>
    <w:uiPriority w:val="99"/>
  </w:style>
  <w:style w:type="paragraph" w:customStyle="1" w:styleId="18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cs="Courier New" w:eastAsiaTheme="minorHAnsi"/>
      <w:lang w:val="ru-RU" w:eastAsia="en-US" w:bidi="ar-SA"/>
    </w:rPr>
  </w:style>
  <w:style w:type="paragraph" w:customStyle="1" w:styleId="19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character" w:customStyle="1" w:styleId="20">
    <w:name w:val="Верхний колонтитул Знак"/>
    <w:basedOn w:val="3"/>
    <w:link w:val="7"/>
    <w:qFormat/>
    <w:uiPriority w:val="99"/>
  </w:style>
  <w:style w:type="character" w:customStyle="1" w:styleId="21">
    <w:name w:val="Нижний колонтитул Знак"/>
    <w:basedOn w:val="3"/>
    <w:link w:val="9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2C082-6FE2-4032-8430-403D9B6728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4469</Words>
  <Characters>25475</Characters>
  <Lines>212</Lines>
  <Paragraphs>59</Paragraphs>
  <TotalTime>6</TotalTime>
  <ScaleCrop>false</ScaleCrop>
  <LinksUpToDate>false</LinksUpToDate>
  <CharactersWithSpaces>29885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2015-02-06T06:05:00Z</dcterms:created>
  <dc:creator>KSP1</dc:creator>
  <cp:lastModifiedBy>WPS_1698754307</cp:lastModifiedBy>
  <cp:lastPrinted>2022-04-11T12:21:00Z</cp:lastPrinted>
  <dcterms:modified xsi:type="dcterms:W3CDTF">2024-04-25T11:43:36Z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C6FAD14541F14887A8195FC9DD9CFCC2</vt:lpwstr>
  </property>
</Properties>
</file>